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277C" w14:textId="742070DD" w:rsidR="00B5385D" w:rsidRDefault="00F204C2"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GRAIN MILLING EMPLOYERS ASSOCIATION OF ZIMBABWE </w:t>
      </w:r>
      <w:r w:rsidR="00B33663">
        <w:rPr>
          <w:rFonts w:ascii="Times New Roman" w:hAnsi="Times New Roman" w:cs="Times New Roman"/>
          <w:sz w:val="24"/>
          <w:szCs w:val="24"/>
        </w:rPr>
        <w:t xml:space="preserve"> </w:t>
      </w:r>
    </w:p>
    <w:p w14:paraId="20E8AE32" w14:textId="77777777" w:rsidR="00B5385D" w:rsidRDefault="00B33663"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196F683E" w14:textId="745E6BC3" w:rsidR="000652A4" w:rsidRDefault="00F204C2"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SMALL TO MEDIUM ENTERPRISES ASSOCIATION OF ZIMBABWE </w:t>
      </w:r>
      <w:r w:rsidR="00B33663">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61FECF37" w14:textId="77777777" w:rsidR="0060607A" w:rsidRDefault="00B33663"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07604FC5" w14:textId="4AB7ED45" w:rsidR="00B5385D" w:rsidRDefault="00F204C2"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MILLING INDUSTRY WORKERS UNION </w:t>
      </w:r>
      <w:r w:rsidR="00B33663">
        <w:rPr>
          <w:rFonts w:ascii="Times New Roman" w:hAnsi="Times New Roman" w:cs="Times New Roman"/>
          <w:sz w:val="24"/>
          <w:szCs w:val="24"/>
        </w:rPr>
        <w:t xml:space="preserve"> </w:t>
      </w:r>
    </w:p>
    <w:p w14:paraId="14E0E36E" w14:textId="77777777" w:rsidR="00A15094" w:rsidRDefault="00B5385D"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0607A">
        <w:rPr>
          <w:rFonts w:ascii="Times New Roman" w:hAnsi="Times New Roman" w:cs="Times New Roman"/>
          <w:sz w:val="24"/>
          <w:szCs w:val="24"/>
        </w:rPr>
        <w:t>nd</w:t>
      </w:r>
    </w:p>
    <w:p w14:paraId="0E20576E" w14:textId="77777777" w:rsidR="00F204C2" w:rsidRDefault="00F204C2"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EMPLOYMENT COUNCIL FOR THE FOOD AND ALLIED INDUSTRIES </w:t>
      </w:r>
    </w:p>
    <w:p w14:paraId="2DCEF424" w14:textId="7778D2CE" w:rsidR="00F204C2" w:rsidRDefault="00F204C2"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1281A28B" w14:textId="708B172C" w:rsidR="00B5385D" w:rsidRDefault="00F204C2"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REGISTRAR OF LABOUR N.O. </w:t>
      </w:r>
      <w:r w:rsidR="00B33663">
        <w:rPr>
          <w:rFonts w:ascii="Times New Roman" w:hAnsi="Times New Roman" w:cs="Times New Roman"/>
          <w:sz w:val="24"/>
          <w:szCs w:val="24"/>
        </w:rPr>
        <w:t xml:space="preserve"> </w:t>
      </w:r>
    </w:p>
    <w:p w14:paraId="12456F16" w14:textId="77777777" w:rsidR="0060607A" w:rsidRDefault="0060607A" w:rsidP="0000054D">
      <w:pPr>
        <w:spacing w:after="0"/>
        <w:rPr>
          <w:rFonts w:ascii="Times New Roman" w:hAnsi="Times New Roman" w:cs="Times New Roman"/>
          <w:sz w:val="24"/>
          <w:szCs w:val="24"/>
        </w:rPr>
      </w:pPr>
    </w:p>
    <w:p w14:paraId="0CC36880" w14:textId="77777777" w:rsidR="0000054D" w:rsidRDefault="0000054D"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3F8CB13E" w14:textId="77777777" w:rsidR="0000054D" w:rsidRDefault="0000054D"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137880F3" w14:textId="572B7ADB" w:rsidR="0000054D" w:rsidRDefault="0000054D" w:rsidP="00FB5F80">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F204C2">
        <w:rPr>
          <w:rFonts w:ascii="Times New Roman" w:hAnsi="Times New Roman" w:cs="Times New Roman"/>
          <w:sz w:val="24"/>
          <w:szCs w:val="24"/>
        </w:rPr>
        <w:t xml:space="preserve">30 March </w:t>
      </w:r>
      <w:r w:rsidR="00B10942">
        <w:rPr>
          <w:rFonts w:ascii="Times New Roman" w:hAnsi="Times New Roman" w:cs="Times New Roman"/>
          <w:sz w:val="24"/>
          <w:szCs w:val="24"/>
        </w:rPr>
        <w:t xml:space="preserve">&amp; </w:t>
      </w:r>
      <w:r w:rsidR="00F204C2">
        <w:rPr>
          <w:rFonts w:ascii="Times New Roman" w:hAnsi="Times New Roman" w:cs="Times New Roman"/>
          <w:sz w:val="24"/>
          <w:szCs w:val="24"/>
        </w:rPr>
        <w:t xml:space="preserve">5, 14 </w:t>
      </w:r>
      <w:r w:rsidR="00257D64">
        <w:rPr>
          <w:rFonts w:ascii="Times New Roman" w:hAnsi="Times New Roman" w:cs="Times New Roman"/>
          <w:sz w:val="24"/>
          <w:szCs w:val="24"/>
        </w:rPr>
        <w:t>&amp; 21 April 2022</w:t>
      </w:r>
    </w:p>
    <w:p w14:paraId="10F7B38F" w14:textId="77777777" w:rsidR="0000054D" w:rsidRDefault="0000054D" w:rsidP="00FB5F80">
      <w:pPr>
        <w:spacing w:after="0" w:line="240" w:lineRule="auto"/>
        <w:rPr>
          <w:rFonts w:ascii="Times New Roman" w:hAnsi="Times New Roman" w:cs="Times New Roman"/>
          <w:sz w:val="24"/>
          <w:szCs w:val="24"/>
        </w:rPr>
      </w:pPr>
    </w:p>
    <w:p w14:paraId="09B04128" w14:textId="77777777" w:rsidR="0000054D" w:rsidRDefault="0000054D" w:rsidP="00FB5F80">
      <w:pPr>
        <w:spacing w:after="0" w:line="240" w:lineRule="auto"/>
        <w:rPr>
          <w:rFonts w:ascii="Times New Roman" w:hAnsi="Times New Roman" w:cs="Times New Roman"/>
          <w:sz w:val="24"/>
          <w:szCs w:val="24"/>
        </w:rPr>
      </w:pPr>
    </w:p>
    <w:p w14:paraId="49C04497" w14:textId="42B28619"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r w:rsidR="00C963DE">
        <w:rPr>
          <w:rFonts w:ascii="Times New Roman" w:hAnsi="Times New Roman" w:cs="Times New Roman"/>
          <w:b/>
          <w:sz w:val="24"/>
          <w:szCs w:val="24"/>
        </w:rPr>
        <w:t xml:space="preserve">-Interdict </w:t>
      </w:r>
    </w:p>
    <w:p w14:paraId="7014435F" w14:textId="77777777" w:rsidR="0000054D" w:rsidRDefault="0000054D" w:rsidP="0000054D">
      <w:pPr>
        <w:spacing w:after="0"/>
        <w:rPr>
          <w:rFonts w:ascii="Times New Roman" w:hAnsi="Times New Roman" w:cs="Times New Roman"/>
          <w:sz w:val="24"/>
          <w:szCs w:val="24"/>
        </w:rPr>
      </w:pPr>
    </w:p>
    <w:p w14:paraId="546990A4" w14:textId="77777777" w:rsidR="0000054D" w:rsidRDefault="0000054D" w:rsidP="0000054D">
      <w:pPr>
        <w:spacing w:after="0"/>
        <w:rPr>
          <w:rFonts w:ascii="Times New Roman" w:hAnsi="Times New Roman" w:cs="Times New Roman"/>
          <w:sz w:val="24"/>
          <w:szCs w:val="24"/>
        </w:rPr>
      </w:pPr>
    </w:p>
    <w:p w14:paraId="70DECA9A" w14:textId="731C50E8" w:rsidR="0000054D" w:rsidRPr="006E4C88" w:rsidRDefault="00F204C2"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B. Magogo</w:t>
      </w:r>
      <w:r w:rsidR="00CC6961" w:rsidRPr="006E4C88">
        <w:rPr>
          <w:rFonts w:ascii="Times New Roman" w:hAnsi="Times New Roman" w:cs="Times New Roman"/>
          <w:i/>
          <w:sz w:val="24"/>
          <w:szCs w:val="24"/>
        </w:rPr>
        <w:t xml:space="preserve">, </w:t>
      </w:r>
      <w:r w:rsidR="0000054D" w:rsidRPr="006E4C88">
        <w:rPr>
          <w:rFonts w:ascii="Times New Roman" w:hAnsi="Times New Roman" w:cs="Times New Roman"/>
          <w:sz w:val="24"/>
          <w:szCs w:val="24"/>
        </w:rPr>
        <w:t>for the applicant</w:t>
      </w:r>
    </w:p>
    <w:p w14:paraId="2E0F6CC8" w14:textId="518E902C" w:rsidR="0000054D" w:rsidRDefault="00151201"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 Madhuku, </w:t>
      </w:r>
      <w:r w:rsidR="0000054D" w:rsidRPr="006E4C88">
        <w:rPr>
          <w:rFonts w:ascii="Times New Roman" w:hAnsi="Times New Roman" w:cs="Times New Roman"/>
          <w:sz w:val="24"/>
          <w:szCs w:val="24"/>
        </w:rPr>
        <w:t xml:space="preserve">for the </w:t>
      </w:r>
      <w:r w:rsidR="00F718AB">
        <w:rPr>
          <w:rFonts w:ascii="Times New Roman" w:hAnsi="Times New Roman" w:cs="Times New Roman"/>
          <w:sz w:val="24"/>
          <w:szCs w:val="24"/>
        </w:rPr>
        <w:t>1</w:t>
      </w:r>
      <w:r w:rsidR="00F718AB" w:rsidRPr="00F718AB">
        <w:rPr>
          <w:rFonts w:ascii="Times New Roman" w:hAnsi="Times New Roman" w:cs="Times New Roman"/>
          <w:sz w:val="24"/>
          <w:szCs w:val="24"/>
          <w:vertAlign w:val="superscript"/>
        </w:rPr>
        <w:t>st</w:t>
      </w:r>
      <w:r w:rsidR="00F718AB">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F718AB">
        <w:rPr>
          <w:rFonts w:ascii="Times New Roman" w:hAnsi="Times New Roman" w:cs="Times New Roman"/>
          <w:sz w:val="24"/>
          <w:szCs w:val="24"/>
        </w:rPr>
        <w:t>2</w:t>
      </w:r>
      <w:r w:rsidR="00F718AB" w:rsidRPr="00F718AB">
        <w:rPr>
          <w:rFonts w:ascii="Times New Roman" w:hAnsi="Times New Roman" w:cs="Times New Roman"/>
          <w:sz w:val="24"/>
          <w:szCs w:val="24"/>
          <w:vertAlign w:val="superscript"/>
        </w:rPr>
        <w:t>nd</w:t>
      </w:r>
      <w:r w:rsidR="00F718AB">
        <w:rPr>
          <w:rFonts w:ascii="Times New Roman" w:hAnsi="Times New Roman" w:cs="Times New Roman"/>
          <w:sz w:val="24"/>
          <w:szCs w:val="24"/>
        </w:rPr>
        <w:t xml:space="preserve"> respondents</w:t>
      </w:r>
    </w:p>
    <w:p w14:paraId="32F5C148" w14:textId="02885C5F" w:rsidR="00151201" w:rsidRDefault="00151201"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Sande, </w:t>
      </w:r>
      <w:r>
        <w:rPr>
          <w:rFonts w:ascii="Times New Roman" w:hAnsi="Times New Roman" w:cs="Times New Roman"/>
          <w:sz w:val="24"/>
          <w:szCs w:val="24"/>
        </w:rPr>
        <w:t xml:space="preserve">for the </w:t>
      </w:r>
      <w:r w:rsidR="00F718AB">
        <w:rPr>
          <w:rFonts w:ascii="Times New Roman" w:hAnsi="Times New Roman" w:cs="Times New Roman"/>
          <w:sz w:val="24"/>
          <w:szCs w:val="24"/>
        </w:rPr>
        <w:t>3</w:t>
      </w:r>
      <w:r w:rsidR="00F718AB" w:rsidRPr="00F718AB">
        <w:rPr>
          <w:rFonts w:ascii="Times New Roman" w:hAnsi="Times New Roman" w:cs="Times New Roman"/>
          <w:sz w:val="24"/>
          <w:szCs w:val="24"/>
          <w:vertAlign w:val="superscript"/>
        </w:rPr>
        <w:t>rd</w:t>
      </w:r>
      <w:r w:rsidR="00F718AB">
        <w:rPr>
          <w:rFonts w:ascii="Times New Roman" w:hAnsi="Times New Roman" w:cs="Times New Roman"/>
          <w:sz w:val="24"/>
          <w:szCs w:val="24"/>
        </w:rPr>
        <w:t xml:space="preserve"> </w:t>
      </w:r>
      <w:r>
        <w:rPr>
          <w:rFonts w:ascii="Times New Roman" w:hAnsi="Times New Roman" w:cs="Times New Roman"/>
          <w:sz w:val="24"/>
          <w:szCs w:val="24"/>
        </w:rPr>
        <w:t>respondent</w:t>
      </w:r>
    </w:p>
    <w:p w14:paraId="20CD11CB" w14:textId="77777777" w:rsidR="0000054D" w:rsidRDefault="0000054D" w:rsidP="0000054D">
      <w:pPr>
        <w:spacing w:after="0"/>
        <w:rPr>
          <w:rFonts w:ascii="Times New Roman" w:hAnsi="Times New Roman" w:cs="Times New Roman"/>
          <w:sz w:val="24"/>
          <w:szCs w:val="24"/>
        </w:rPr>
      </w:pPr>
    </w:p>
    <w:p w14:paraId="517E9E39" w14:textId="5AAFF4AF" w:rsidR="005A6551" w:rsidRDefault="0000054D" w:rsidP="00000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CC6961">
        <w:rPr>
          <w:rFonts w:ascii="Times New Roman" w:hAnsi="Times New Roman" w:cs="Times New Roman"/>
          <w:sz w:val="24"/>
          <w:szCs w:val="24"/>
        </w:rPr>
        <w:t>USITHU</w:t>
      </w:r>
      <w:r>
        <w:rPr>
          <w:rFonts w:ascii="Times New Roman" w:hAnsi="Times New Roman" w:cs="Times New Roman"/>
          <w:sz w:val="24"/>
          <w:szCs w:val="24"/>
        </w:rPr>
        <w:t xml:space="preserve"> J: </w:t>
      </w:r>
      <w:r w:rsidR="00151201">
        <w:rPr>
          <w:rFonts w:ascii="Times New Roman" w:hAnsi="Times New Roman" w:cs="Times New Roman"/>
          <w:sz w:val="24"/>
          <w:szCs w:val="24"/>
        </w:rPr>
        <w:t xml:space="preserve">The applicant seeks interim relief staying the registration of a Collective Bargaining Agreement (CBA) negotiated between the first and second respondents. </w:t>
      </w:r>
      <w:r w:rsidR="005A6551">
        <w:rPr>
          <w:rFonts w:ascii="Times New Roman" w:hAnsi="Times New Roman" w:cs="Times New Roman"/>
          <w:sz w:val="24"/>
          <w:szCs w:val="24"/>
        </w:rPr>
        <w:t>The relief sought is set out in the draft order as follows:</w:t>
      </w:r>
    </w:p>
    <w:p w14:paraId="7AC32C84" w14:textId="53C75422" w:rsidR="005A6551" w:rsidRPr="00C963DE" w:rsidRDefault="005A6551" w:rsidP="00EC48D4">
      <w:pPr>
        <w:spacing w:after="0" w:line="240" w:lineRule="auto"/>
        <w:jc w:val="both"/>
        <w:rPr>
          <w:rFonts w:ascii="Times New Roman" w:hAnsi="Times New Roman" w:cs="Times New Roman"/>
          <w:b/>
        </w:rPr>
      </w:pPr>
      <w:r>
        <w:rPr>
          <w:rFonts w:ascii="Times New Roman" w:hAnsi="Times New Roman" w:cs="Times New Roman"/>
          <w:sz w:val="24"/>
          <w:szCs w:val="24"/>
        </w:rPr>
        <w:tab/>
      </w:r>
      <w:r w:rsidRPr="00EC48D4">
        <w:rPr>
          <w:rFonts w:ascii="Times New Roman" w:hAnsi="Times New Roman" w:cs="Times New Roman"/>
        </w:rPr>
        <w:t>“</w:t>
      </w:r>
      <w:r w:rsidRPr="00C963DE">
        <w:rPr>
          <w:rFonts w:ascii="Times New Roman" w:hAnsi="Times New Roman" w:cs="Times New Roman"/>
          <w:b/>
        </w:rPr>
        <w:t>TERMS OF THE FINAL ORDER SOUGHT</w:t>
      </w:r>
    </w:p>
    <w:p w14:paraId="31DF04C9" w14:textId="184BB6C3" w:rsidR="005A6551" w:rsidRPr="00EC48D4" w:rsidRDefault="005A6551" w:rsidP="00EC48D4">
      <w:pPr>
        <w:spacing w:after="0" w:line="240" w:lineRule="auto"/>
        <w:ind w:left="720"/>
        <w:jc w:val="both"/>
        <w:rPr>
          <w:rFonts w:ascii="Times New Roman" w:hAnsi="Times New Roman" w:cs="Times New Roman"/>
        </w:rPr>
      </w:pPr>
      <w:r w:rsidRPr="00EC48D4">
        <w:rPr>
          <w:rFonts w:ascii="Times New Roman" w:hAnsi="Times New Roman" w:cs="Times New Roman"/>
        </w:rPr>
        <w:t>That you show cause to this Honourable Court, why a final Order should not be made in the following terms:-</w:t>
      </w:r>
    </w:p>
    <w:p w14:paraId="2BAF16D5" w14:textId="2239C40E" w:rsidR="005A6551" w:rsidRPr="00EC48D4" w:rsidRDefault="005A6551" w:rsidP="00EC48D4">
      <w:pPr>
        <w:pStyle w:val="ListParagraph"/>
        <w:numPr>
          <w:ilvl w:val="0"/>
          <w:numId w:val="11"/>
        </w:numPr>
        <w:spacing w:after="0" w:line="240" w:lineRule="auto"/>
        <w:jc w:val="both"/>
        <w:rPr>
          <w:rFonts w:ascii="Times New Roman" w:hAnsi="Times New Roman" w:cs="Times New Roman"/>
        </w:rPr>
      </w:pPr>
      <w:r w:rsidRPr="00EC48D4">
        <w:rPr>
          <w:rFonts w:ascii="Times New Roman" w:hAnsi="Times New Roman" w:cs="Times New Roman"/>
        </w:rPr>
        <w:t xml:space="preserve">Applicant be and is hereby declared to be a duly registered employer’s association for the </w:t>
      </w:r>
      <w:r w:rsidR="009A48EE">
        <w:rPr>
          <w:rFonts w:ascii="Times New Roman" w:hAnsi="Times New Roman" w:cs="Times New Roman"/>
        </w:rPr>
        <w:t>third</w:t>
      </w:r>
      <w:r w:rsidRPr="00EC48D4">
        <w:rPr>
          <w:rFonts w:ascii="Times New Roman" w:hAnsi="Times New Roman" w:cs="Times New Roman"/>
        </w:rPr>
        <w:t xml:space="preserve"> Respondent’s Milling sub-sector with competence to negotiate collective bargaining agreements in the undertaking.</w:t>
      </w:r>
    </w:p>
    <w:p w14:paraId="3B89C5C4" w14:textId="63C51B61" w:rsidR="005A6551" w:rsidRPr="00EC48D4" w:rsidRDefault="005A6551" w:rsidP="00EC48D4">
      <w:pPr>
        <w:pStyle w:val="ListParagraph"/>
        <w:numPr>
          <w:ilvl w:val="0"/>
          <w:numId w:val="11"/>
        </w:numPr>
        <w:spacing w:after="0" w:line="240" w:lineRule="auto"/>
        <w:jc w:val="both"/>
        <w:rPr>
          <w:rFonts w:ascii="Times New Roman" w:hAnsi="Times New Roman" w:cs="Times New Roman"/>
        </w:rPr>
      </w:pPr>
      <w:r w:rsidRPr="00EC48D4">
        <w:rPr>
          <w:rFonts w:ascii="Times New Roman" w:hAnsi="Times New Roman" w:cs="Times New Roman"/>
        </w:rPr>
        <w:t xml:space="preserve">Pending verification of its membership, the </w:t>
      </w:r>
      <w:r w:rsidR="009A48EE">
        <w:rPr>
          <w:rFonts w:ascii="Times New Roman" w:hAnsi="Times New Roman" w:cs="Times New Roman"/>
        </w:rPr>
        <w:t>first</w:t>
      </w:r>
      <w:r w:rsidRPr="00EC48D4">
        <w:rPr>
          <w:rFonts w:ascii="Times New Roman" w:hAnsi="Times New Roman" w:cs="Times New Roman"/>
        </w:rPr>
        <w:t xml:space="preserve"> Respondent is hereby declared an incompetent party for purposes of negotiating collective bargaining agreements on behalf of employers in the </w:t>
      </w:r>
      <w:r w:rsidR="009A48EE">
        <w:rPr>
          <w:rFonts w:ascii="Times New Roman" w:hAnsi="Times New Roman" w:cs="Times New Roman"/>
        </w:rPr>
        <w:t>third</w:t>
      </w:r>
      <w:r w:rsidRPr="00EC48D4">
        <w:rPr>
          <w:rFonts w:ascii="Times New Roman" w:hAnsi="Times New Roman" w:cs="Times New Roman"/>
        </w:rPr>
        <w:t xml:space="preserve"> Respondent’s Milling Subsector.</w:t>
      </w:r>
    </w:p>
    <w:p w14:paraId="5785C554" w14:textId="2F2859CA" w:rsidR="005A6551" w:rsidRPr="00EC48D4" w:rsidRDefault="005A6551" w:rsidP="00EC48D4">
      <w:pPr>
        <w:pStyle w:val="ListParagraph"/>
        <w:numPr>
          <w:ilvl w:val="0"/>
          <w:numId w:val="11"/>
        </w:numPr>
        <w:spacing w:after="0" w:line="240" w:lineRule="auto"/>
        <w:jc w:val="both"/>
        <w:rPr>
          <w:rFonts w:ascii="Times New Roman" w:hAnsi="Times New Roman" w:cs="Times New Roman"/>
        </w:rPr>
      </w:pPr>
      <w:r w:rsidRPr="00EC48D4">
        <w:rPr>
          <w:rFonts w:ascii="Times New Roman" w:hAnsi="Times New Roman" w:cs="Times New Roman"/>
        </w:rPr>
        <w:t>The Collective Bargaining Agreement: Food and Allied</w:t>
      </w:r>
      <w:r w:rsidR="00E541B8" w:rsidRPr="00EC48D4">
        <w:rPr>
          <w:rFonts w:ascii="Times New Roman" w:hAnsi="Times New Roman" w:cs="Times New Roman"/>
        </w:rPr>
        <w:t xml:space="preserve"> Industries (Milling Sub-sector) between </w:t>
      </w:r>
      <w:r w:rsidR="009A48EE">
        <w:rPr>
          <w:rFonts w:ascii="Times New Roman" w:hAnsi="Times New Roman" w:cs="Times New Roman"/>
        </w:rPr>
        <w:t>first</w:t>
      </w:r>
      <w:r w:rsidR="00E541B8" w:rsidRPr="00EC48D4">
        <w:rPr>
          <w:rFonts w:ascii="Times New Roman" w:hAnsi="Times New Roman" w:cs="Times New Roman"/>
        </w:rPr>
        <w:t xml:space="preserve"> and </w:t>
      </w:r>
      <w:r w:rsidR="009A48EE">
        <w:rPr>
          <w:rFonts w:ascii="Times New Roman" w:hAnsi="Times New Roman" w:cs="Times New Roman"/>
        </w:rPr>
        <w:t>second</w:t>
      </w:r>
      <w:r w:rsidR="00E541B8" w:rsidRPr="00EC48D4">
        <w:rPr>
          <w:rFonts w:ascii="Times New Roman" w:hAnsi="Times New Roman" w:cs="Times New Roman"/>
        </w:rPr>
        <w:t xml:space="preserve"> Respondent dated 22 March 2022 be and is hereby declared to be null and void and consequently incapable of registration with the </w:t>
      </w:r>
      <w:r w:rsidR="009A48EE">
        <w:rPr>
          <w:rFonts w:ascii="Times New Roman" w:hAnsi="Times New Roman" w:cs="Times New Roman"/>
        </w:rPr>
        <w:t>fourth</w:t>
      </w:r>
      <w:r w:rsidR="00E541B8" w:rsidRPr="00EC48D4">
        <w:rPr>
          <w:rFonts w:ascii="Times New Roman" w:hAnsi="Times New Roman" w:cs="Times New Roman"/>
        </w:rPr>
        <w:t xml:space="preserve"> Respondent.</w:t>
      </w:r>
    </w:p>
    <w:p w14:paraId="7965C728" w14:textId="16832E7A" w:rsidR="00E541B8" w:rsidRPr="00EC48D4" w:rsidRDefault="00E541B8" w:rsidP="00EC48D4">
      <w:pPr>
        <w:pStyle w:val="ListParagraph"/>
        <w:numPr>
          <w:ilvl w:val="0"/>
          <w:numId w:val="11"/>
        </w:numPr>
        <w:spacing w:after="0" w:line="240" w:lineRule="auto"/>
        <w:jc w:val="both"/>
        <w:rPr>
          <w:rFonts w:ascii="Times New Roman" w:hAnsi="Times New Roman" w:cs="Times New Roman"/>
        </w:rPr>
      </w:pPr>
      <w:r w:rsidRPr="00EC48D4">
        <w:rPr>
          <w:rFonts w:ascii="Times New Roman" w:hAnsi="Times New Roman" w:cs="Times New Roman"/>
        </w:rPr>
        <w:t xml:space="preserve">The </w:t>
      </w:r>
      <w:r w:rsidR="009A48EE">
        <w:rPr>
          <w:rFonts w:ascii="Times New Roman" w:hAnsi="Times New Roman" w:cs="Times New Roman"/>
        </w:rPr>
        <w:t>fourth</w:t>
      </w:r>
      <w:r w:rsidRPr="00EC48D4">
        <w:rPr>
          <w:rFonts w:ascii="Times New Roman" w:hAnsi="Times New Roman" w:cs="Times New Roman"/>
        </w:rPr>
        <w:t xml:space="preserve"> Respondent be and is hereby ordered and directed not to register the Collective Bargaining Agreement: Food and Allied Industries (Milling Sub-sector) between </w:t>
      </w:r>
      <w:r w:rsidR="009A48EE">
        <w:rPr>
          <w:rFonts w:ascii="Times New Roman" w:hAnsi="Times New Roman" w:cs="Times New Roman"/>
        </w:rPr>
        <w:t>first</w:t>
      </w:r>
      <w:r w:rsidRPr="00EC48D4">
        <w:rPr>
          <w:rFonts w:ascii="Times New Roman" w:hAnsi="Times New Roman" w:cs="Times New Roman"/>
        </w:rPr>
        <w:t xml:space="preserve"> and </w:t>
      </w:r>
      <w:r w:rsidR="009A48EE">
        <w:rPr>
          <w:rFonts w:ascii="Times New Roman" w:hAnsi="Times New Roman" w:cs="Times New Roman"/>
        </w:rPr>
        <w:t>second</w:t>
      </w:r>
      <w:r w:rsidRPr="00EC48D4">
        <w:rPr>
          <w:rFonts w:ascii="Times New Roman" w:hAnsi="Times New Roman" w:cs="Times New Roman"/>
        </w:rPr>
        <w:t xml:space="preserve"> Respondent dated 22 March 2022.</w:t>
      </w:r>
    </w:p>
    <w:p w14:paraId="7ACA0441" w14:textId="6AA5E29C" w:rsidR="00E541B8" w:rsidRPr="00EC48D4" w:rsidRDefault="00E541B8" w:rsidP="00EC48D4">
      <w:pPr>
        <w:pStyle w:val="ListParagraph"/>
        <w:numPr>
          <w:ilvl w:val="0"/>
          <w:numId w:val="11"/>
        </w:numPr>
        <w:spacing w:after="0" w:line="240" w:lineRule="auto"/>
        <w:jc w:val="both"/>
        <w:rPr>
          <w:rFonts w:ascii="Times New Roman" w:hAnsi="Times New Roman" w:cs="Times New Roman"/>
        </w:rPr>
      </w:pPr>
      <w:r w:rsidRPr="00EC48D4">
        <w:rPr>
          <w:rFonts w:ascii="Times New Roman" w:hAnsi="Times New Roman" w:cs="Times New Roman"/>
        </w:rPr>
        <w:t xml:space="preserve">Alternatively; if, at the time of issuance of this order </w:t>
      </w:r>
      <w:r w:rsidR="009A48EE">
        <w:rPr>
          <w:rFonts w:ascii="Times New Roman" w:hAnsi="Times New Roman" w:cs="Times New Roman"/>
        </w:rPr>
        <w:t>fourth</w:t>
      </w:r>
      <w:r w:rsidRPr="00EC48D4">
        <w:rPr>
          <w:rFonts w:ascii="Times New Roman" w:hAnsi="Times New Roman" w:cs="Times New Roman"/>
        </w:rPr>
        <w:t xml:space="preserve"> Respondent has already registered the Collective Bargaining Agreement: Food and Allied Industries (Milling Sub-sector) between </w:t>
      </w:r>
      <w:r w:rsidR="009A48EE">
        <w:rPr>
          <w:rFonts w:ascii="Times New Roman" w:hAnsi="Times New Roman" w:cs="Times New Roman"/>
        </w:rPr>
        <w:t>first</w:t>
      </w:r>
      <w:r w:rsidRPr="00EC48D4">
        <w:rPr>
          <w:rFonts w:ascii="Times New Roman" w:hAnsi="Times New Roman" w:cs="Times New Roman"/>
        </w:rPr>
        <w:t xml:space="preserve"> and </w:t>
      </w:r>
      <w:r w:rsidR="009A48EE">
        <w:rPr>
          <w:rFonts w:ascii="Times New Roman" w:hAnsi="Times New Roman" w:cs="Times New Roman"/>
        </w:rPr>
        <w:t>second</w:t>
      </w:r>
      <w:r w:rsidRPr="00EC48D4">
        <w:rPr>
          <w:rFonts w:ascii="Times New Roman" w:hAnsi="Times New Roman" w:cs="Times New Roman"/>
        </w:rPr>
        <w:t xml:space="preserve"> Respondent dated 22 March 2022, then in that event such registration be and is hereby set aside.</w:t>
      </w:r>
    </w:p>
    <w:p w14:paraId="2484E137" w14:textId="6F44A43B" w:rsidR="00E541B8" w:rsidRDefault="00E541B8" w:rsidP="00EC48D4">
      <w:pPr>
        <w:pStyle w:val="ListParagraph"/>
        <w:numPr>
          <w:ilvl w:val="0"/>
          <w:numId w:val="11"/>
        </w:numPr>
        <w:spacing w:after="0" w:line="240" w:lineRule="auto"/>
        <w:jc w:val="both"/>
        <w:rPr>
          <w:rFonts w:ascii="Times New Roman" w:hAnsi="Times New Roman" w:cs="Times New Roman"/>
        </w:rPr>
      </w:pPr>
      <w:r w:rsidRPr="00EC48D4">
        <w:rPr>
          <w:rFonts w:ascii="Times New Roman" w:hAnsi="Times New Roman" w:cs="Times New Roman"/>
        </w:rPr>
        <w:lastRenderedPageBreak/>
        <w:t xml:space="preserve">The </w:t>
      </w:r>
      <w:r w:rsidR="009A48EE">
        <w:rPr>
          <w:rFonts w:ascii="Times New Roman" w:hAnsi="Times New Roman" w:cs="Times New Roman"/>
        </w:rPr>
        <w:t>first</w:t>
      </w:r>
      <w:r w:rsidRPr="00EC48D4">
        <w:rPr>
          <w:rFonts w:ascii="Times New Roman" w:hAnsi="Times New Roman" w:cs="Times New Roman"/>
        </w:rPr>
        <w:t xml:space="preserve"> and </w:t>
      </w:r>
      <w:r w:rsidR="009A48EE">
        <w:rPr>
          <w:rFonts w:ascii="Times New Roman" w:hAnsi="Times New Roman" w:cs="Times New Roman"/>
        </w:rPr>
        <w:t>second</w:t>
      </w:r>
      <w:r w:rsidRPr="00EC48D4">
        <w:rPr>
          <w:rFonts w:ascii="Times New Roman" w:hAnsi="Times New Roman" w:cs="Times New Roman"/>
        </w:rPr>
        <w:t xml:space="preserve"> Respondent shall, jointly and severally the one paying the other to be absolved, pay Applicant’s costs of suit on the attorney client scale.</w:t>
      </w:r>
    </w:p>
    <w:p w14:paraId="19A650DA" w14:textId="77777777" w:rsidR="00EC48D4" w:rsidRPr="00EC48D4" w:rsidRDefault="00EC48D4" w:rsidP="00EC48D4">
      <w:pPr>
        <w:pStyle w:val="ListParagraph"/>
        <w:spacing w:after="0" w:line="240" w:lineRule="auto"/>
        <w:ind w:left="1080"/>
        <w:jc w:val="both"/>
        <w:rPr>
          <w:rFonts w:ascii="Times New Roman" w:hAnsi="Times New Roman" w:cs="Times New Roman"/>
        </w:rPr>
      </w:pPr>
    </w:p>
    <w:p w14:paraId="26B431B8" w14:textId="476F3188" w:rsidR="006365D0" w:rsidRPr="00EC48D4" w:rsidRDefault="006365D0" w:rsidP="00EC48D4">
      <w:pPr>
        <w:spacing w:after="0" w:line="240" w:lineRule="auto"/>
        <w:ind w:left="720"/>
        <w:jc w:val="both"/>
        <w:rPr>
          <w:rFonts w:ascii="Times New Roman" w:hAnsi="Times New Roman" w:cs="Times New Roman"/>
          <w:b/>
        </w:rPr>
      </w:pPr>
      <w:r w:rsidRPr="00EC48D4">
        <w:rPr>
          <w:rFonts w:ascii="Times New Roman" w:hAnsi="Times New Roman" w:cs="Times New Roman"/>
          <w:b/>
        </w:rPr>
        <w:t>INTERIM RELIEF GRANTED</w:t>
      </w:r>
    </w:p>
    <w:p w14:paraId="0FCC1536" w14:textId="5A3B1224" w:rsidR="006365D0" w:rsidRPr="00EC48D4" w:rsidRDefault="006365D0" w:rsidP="00EC48D4">
      <w:pPr>
        <w:spacing w:after="0" w:line="240" w:lineRule="auto"/>
        <w:ind w:left="720"/>
        <w:jc w:val="both"/>
        <w:rPr>
          <w:rFonts w:ascii="Times New Roman" w:hAnsi="Times New Roman" w:cs="Times New Roman"/>
        </w:rPr>
      </w:pPr>
      <w:r w:rsidRPr="00EC48D4">
        <w:rPr>
          <w:rFonts w:ascii="Times New Roman" w:hAnsi="Times New Roman" w:cs="Times New Roman"/>
        </w:rPr>
        <w:t>Pending the finalisation of the matter on the return day, Applicant is granted the following relief:-</w:t>
      </w:r>
    </w:p>
    <w:p w14:paraId="2749EDF8" w14:textId="064EF7A6" w:rsidR="006365D0" w:rsidRPr="00EC48D4" w:rsidRDefault="006365D0" w:rsidP="00EC48D4">
      <w:pPr>
        <w:pStyle w:val="ListParagraph"/>
        <w:numPr>
          <w:ilvl w:val="0"/>
          <w:numId w:val="12"/>
        </w:numPr>
        <w:spacing w:after="0" w:line="240" w:lineRule="auto"/>
        <w:jc w:val="both"/>
        <w:rPr>
          <w:rFonts w:ascii="Times New Roman" w:hAnsi="Times New Roman" w:cs="Times New Roman"/>
        </w:rPr>
      </w:pPr>
      <w:r w:rsidRPr="00EC48D4">
        <w:rPr>
          <w:rFonts w:ascii="Times New Roman" w:hAnsi="Times New Roman" w:cs="Times New Roman"/>
        </w:rPr>
        <w:t>The registration of the Collective Bargaining Agreement</w:t>
      </w:r>
      <w:r w:rsidR="00EC48D4" w:rsidRPr="00EC48D4">
        <w:rPr>
          <w:rFonts w:ascii="Times New Roman" w:hAnsi="Times New Roman" w:cs="Times New Roman"/>
        </w:rPr>
        <w:t xml:space="preserve">: Food and Allied </w:t>
      </w:r>
      <w:r w:rsidR="00354075" w:rsidRPr="00EC48D4">
        <w:rPr>
          <w:rFonts w:ascii="Times New Roman" w:hAnsi="Times New Roman" w:cs="Times New Roman"/>
        </w:rPr>
        <w:t>Industries</w:t>
      </w:r>
      <w:r w:rsidR="00EC48D4" w:rsidRPr="00EC48D4">
        <w:rPr>
          <w:rFonts w:ascii="Times New Roman" w:hAnsi="Times New Roman" w:cs="Times New Roman"/>
        </w:rPr>
        <w:t xml:space="preserve"> (Milling Sub-sector) between </w:t>
      </w:r>
      <w:r w:rsidR="009A48EE">
        <w:rPr>
          <w:rFonts w:ascii="Times New Roman" w:hAnsi="Times New Roman" w:cs="Times New Roman"/>
        </w:rPr>
        <w:t>first</w:t>
      </w:r>
      <w:r w:rsidR="00EC48D4" w:rsidRPr="00EC48D4">
        <w:rPr>
          <w:rFonts w:ascii="Times New Roman" w:hAnsi="Times New Roman" w:cs="Times New Roman"/>
        </w:rPr>
        <w:t xml:space="preserve"> and </w:t>
      </w:r>
      <w:r w:rsidR="009A48EE">
        <w:rPr>
          <w:rFonts w:ascii="Times New Roman" w:hAnsi="Times New Roman" w:cs="Times New Roman"/>
        </w:rPr>
        <w:t>second</w:t>
      </w:r>
      <w:r w:rsidR="00EC48D4" w:rsidRPr="00EC48D4">
        <w:rPr>
          <w:rFonts w:ascii="Times New Roman" w:hAnsi="Times New Roman" w:cs="Times New Roman"/>
        </w:rPr>
        <w:t xml:space="preserve"> Respondent dated 22 March 2022 be and is hereby stayed;</w:t>
      </w:r>
    </w:p>
    <w:p w14:paraId="10791D5C" w14:textId="43795C32" w:rsidR="00EC48D4" w:rsidRDefault="002A0093" w:rsidP="00EC48D4">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First</w:t>
      </w:r>
      <w:r w:rsidR="00EC48D4" w:rsidRPr="00EC48D4">
        <w:rPr>
          <w:rFonts w:ascii="Times New Roman" w:hAnsi="Times New Roman" w:cs="Times New Roman"/>
        </w:rPr>
        <w:t xml:space="preserve"> Respondent be and is hereby temporarily interdicted from further participating in any collective bargaining negotiations for the Milling sub-sector.</w:t>
      </w:r>
    </w:p>
    <w:p w14:paraId="04E67F17" w14:textId="77777777" w:rsidR="00EC48D4" w:rsidRPr="00EC48D4" w:rsidRDefault="00EC48D4" w:rsidP="00EC48D4">
      <w:pPr>
        <w:pStyle w:val="ListParagraph"/>
        <w:spacing w:after="0" w:line="240" w:lineRule="auto"/>
        <w:ind w:left="1080"/>
        <w:jc w:val="both"/>
        <w:rPr>
          <w:rFonts w:ascii="Times New Roman" w:hAnsi="Times New Roman" w:cs="Times New Roman"/>
        </w:rPr>
      </w:pPr>
    </w:p>
    <w:p w14:paraId="6A405A0B" w14:textId="0F55A2B9" w:rsidR="00EC48D4" w:rsidRPr="00EC48D4" w:rsidRDefault="00EC48D4" w:rsidP="00EC48D4">
      <w:pPr>
        <w:spacing w:after="0" w:line="240" w:lineRule="auto"/>
        <w:ind w:left="720"/>
        <w:jc w:val="both"/>
        <w:rPr>
          <w:rFonts w:ascii="Times New Roman" w:hAnsi="Times New Roman" w:cs="Times New Roman"/>
          <w:b/>
        </w:rPr>
      </w:pPr>
      <w:r w:rsidRPr="00EC48D4">
        <w:rPr>
          <w:rFonts w:ascii="Times New Roman" w:hAnsi="Times New Roman" w:cs="Times New Roman"/>
          <w:b/>
        </w:rPr>
        <w:t>SERVICE OF THIS PROVISIONAL ORDER</w:t>
      </w:r>
    </w:p>
    <w:p w14:paraId="066C99D1" w14:textId="699289BD" w:rsidR="00EC48D4" w:rsidRDefault="00EC48D4" w:rsidP="00EC48D4">
      <w:pPr>
        <w:spacing w:after="0" w:line="240" w:lineRule="auto"/>
        <w:ind w:left="720"/>
        <w:jc w:val="both"/>
        <w:rPr>
          <w:rFonts w:ascii="Times New Roman" w:hAnsi="Times New Roman" w:cs="Times New Roman"/>
          <w:sz w:val="24"/>
          <w:szCs w:val="24"/>
        </w:rPr>
      </w:pPr>
      <w:r w:rsidRPr="00EC48D4">
        <w:rPr>
          <w:rFonts w:ascii="Times New Roman" w:hAnsi="Times New Roman" w:cs="Times New Roman"/>
        </w:rPr>
        <w:t>The Sheriff or alternatively Applicant’s legal practitioners be and is hereby granted leave to serve this interim order on the Respondent.</w:t>
      </w:r>
      <w:r>
        <w:rPr>
          <w:rFonts w:ascii="Times New Roman" w:hAnsi="Times New Roman" w:cs="Times New Roman"/>
          <w:sz w:val="24"/>
          <w:szCs w:val="24"/>
        </w:rPr>
        <w:t>”</w:t>
      </w:r>
    </w:p>
    <w:p w14:paraId="24E772E8" w14:textId="77777777" w:rsidR="00EC48D4" w:rsidRPr="00EC48D4" w:rsidRDefault="00EC48D4" w:rsidP="00EC48D4">
      <w:pPr>
        <w:spacing w:after="0" w:line="240" w:lineRule="auto"/>
        <w:ind w:left="720"/>
        <w:jc w:val="both"/>
        <w:rPr>
          <w:rFonts w:ascii="Times New Roman" w:hAnsi="Times New Roman" w:cs="Times New Roman"/>
          <w:sz w:val="24"/>
          <w:szCs w:val="24"/>
        </w:rPr>
      </w:pPr>
    </w:p>
    <w:p w14:paraId="5939B077" w14:textId="2B4AC98C" w:rsidR="009C5BE3" w:rsidRDefault="00EC48D4" w:rsidP="00EC48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w:t>
      </w:r>
      <w:r w:rsidR="00C963DE">
        <w:rPr>
          <w:rFonts w:ascii="Times New Roman" w:hAnsi="Times New Roman" w:cs="Times New Roman"/>
          <w:sz w:val="24"/>
          <w:szCs w:val="24"/>
        </w:rPr>
        <w:t xml:space="preserve">by </w:t>
      </w:r>
      <w:r>
        <w:rPr>
          <w:rFonts w:ascii="Times New Roman" w:hAnsi="Times New Roman" w:cs="Times New Roman"/>
          <w:sz w:val="24"/>
          <w:szCs w:val="24"/>
        </w:rPr>
        <w:t xml:space="preserve">the first to third respondents. </w:t>
      </w:r>
      <w:r w:rsidR="00495B2D">
        <w:rPr>
          <w:rFonts w:ascii="Times New Roman" w:hAnsi="Times New Roman" w:cs="Times New Roman"/>
          <w:sz w:val="24"/>
          <w:szCs w:val="24"/>
        </w:rPr>
        <w:t xml:space="preserve">The applicant is </w:t>
      </w:r>
      <w:r w:rsidR="00E810C8">
        <w:rPr>
          <w:rFonts w:ascii="Times New Roman" w:hAnsi="Times New Roman" w:cs="Times New Roman"/>
          <w:sz w:val="24"/>
          <w:szCs w:val="24"/>
        </w:rPr>
        <w:t xml:space="preserve">an employer association </w:t>
      </w:r>
      <w:r w:rsidR="00495B2D">
        <w:rPr>
          <w:rFonts w:ascii="Times New Roman" w:hAnsi="Times New Roman" w:cs="Times New Roman"/>
          <w:sz w:val="24"/>
          <w:szCs w:val="24"/>
        </w:rPr>
        <w:t>registered in terms of the Labour Act</w:t>
      </w:r>
      <w:r w:rsidR="00E810C8">
        <w:rPr>
          <w:rFonts w:ascii="Times New Roman" w:hAnsi="Times New Roman" w:cs="Times New Roman"/>
          <w:sz w:val="24"/>
          <w:szCs w:val="24"/>
        </w:rPr>
        <w:t xml:space="preserve"> (the Act).</w:t>
      </w:r>
      <w:r w:rsidR="00495B2D">
        <w:rPr>
          <w:rStyle w:val="FootnoteReference"/>
          <w:rFonts w:ascii="Times New Roman" w:hAnsi="Times New Roman" w:cs="Times New Roman"/>
          <w:sz w:val="24"/>
          <w:szCs w:val="24"/>
        </w:rPr>
        <w:footnoteReference w:id="1"/>
      </w:r>
      <w:r w:rsidR="00495B2D">
        <w:rPr>
          <w:rFonts w:ascii="Times New Roman" w:hAnsi="Times New Roman" w:cs="Times New Roman"/>
          <w:sz w:val="24"/>
          <w:szCs w:val="24"/>
        </w:rPr>
        <w:t xml:space="preserve"> </w:t>
      </w:r>
      <w:r w:rsidR="00E810C8">
        <w:rPr>
          <w:rFonts w:ascii="Times New Roman" w:hAnsi="Times New Roman" w:cs="Times New Roman"/>
          <w:sz w:val="24"/>
          <w:szCs w:val="24"/>
        </w:rPr>
        <w:t xml:space="preserve">The first respondent is also an employer association registered in terms of the Act. The second respondent is a trade union also registered in terms of the Act. The third respondent is an employment council registered in terms of the Act. It regulates the activities of </w:t>
      </w:r>
      <w:r w:rsidR="00072FD1">
        <w:rPr>
          <w:rFonts w:ascii="Times New Roman" w:hAnsi="Times New Roman" w:cs="Times New Roman"/>
          <w:sz w:val="24"/>
          <w:szCs w:val="24"/>
        </w:rPr>
        <w:t xml:space="preserve">its affiliated members. The fourth respondent is an official appointed in terms of the Act. His responsibilities includes the registration and supervision of the activities of trade unions and employment councils. </w:t>
      </w:r>
    </w:p>
    <w:p w14:paraId="6259106E" w14:textId="5058907E" w:rsidR="00072FD1" w:rsidRDefault="00072FD1" w:rsidP="0000054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Applicant’s Case</w:t>
      </w:r>
    </w:p>
    <w:p w14:paraId="168FD03E" w14:textId="5E6E2967" w:rsidR="00622ED0" w:rsidRDefault="00D51238" w:rsidP="00000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was registered by the fourth respondent as an employer</w:t>
      </w:r>
      <w:r w:rsidR="00C963DE">
        <w:rPr>
          <w:rFonts w:ascii="Times New Roman" w:hAnsi="Times New Roman" w:cs="Times New Roman"/>
          <w:sz w:val="24"/>
          <w:szCs w:val="24"/>
        </w:rPr>
        <w:t>s’</w:t>
      </w:r>
      <w:r>
        <w:rPr>
          <w:rFonts w:ascii="Times New Roman" w:hAnsi="Times New Roman" w:cs="Times New Roman"/>
          <w:sz w:val="24"/>
          <w:szCs w:val="24"/>
        </w:rPr>
        <w:t xml:space="preserve"> association on 29 December 1998. </w:t>
      </w:r>
      <w:r w:rsidR="00777426">
        <w:rPr>
          <w:rFonts w:ascii="Times New Roman" w:hAnsi="Times New Roman" w:cs="Times New Roman"/>
          <w:sz w:val="24"/>
          <w:szCs w:val="24"/>
        </w:rPr>
        <w:t xml:space="preserve">Over the years, it has participated in collective bargaining negotiations on behalf of </w:t>
      </w:r>
      <w:r w:rsidR="002A5408">
        <w:rPr>
          <w:rFonts w:ascii="Times New Roman" w:hAnsi="Times New Roman" w:cs="Times New Roman"/>
          <w:sz w:val="24"/>
          <w:szCs w:val="24"/>
        </w:rPr>
        <w:t>employers in the milling sector. The applicant claims that at some point it incorporated a separate legal entity known as the Grain Millers Association of Zimbabwe (Private) Limited (GMAZ). That entity has the mandate to handle labour related matters that concerns the applicant</w:t>
      </w:r>
      <w:r w:rsidR="00C963DE">
        <w:rPr>
          <w:rFonts w:ascii="Times New Roman" w:hAnsi="Times New Roman" w:cs="Times New Roman"/>
          <w:sz w:val="24"/>
          <w:szCs w:val="24"/>
        </w:rPr>
        <w:t xml:space="preserve"> and its membership</w:t>
      </w:r>
      <w:r w:rsidR="002A5408">
        <w:rPr>
          <w:rFonts w:ascii="Times New Roman" w:hAnsi="Times New Roman" w:cs="Times New Roman"/>
          <w:sz w:val="24"/>
          <w:szCs w:val="24"/>
        </w:rPr>
        <w:t xml:space="preserve">. The applicant claims that although the two entities are distinct legal personalities, their leadership is substantially similar. </w:t>
      </w:r>
      <w:r w:rsidR="005E0D23">
        <w:rPr>
          <w:rFonts w:ascii="Times New Roman" w:hAnsi="Times New Roman" w:cs="Times New Roman"/>
          <w:sz w:val="24"/>
          <w:szCs w:val="24"/>
        </w:rPr>
        <w:t xml:space="preserve">As a result of this position, there has been a conflation of the two by stakeholders in the industry. </w:t>
      </w:r>
      <w:r w:rsidR="002A5408">
        <w:rPr>
          <w:rFonts w:ascii="Times New Roman" w:hAnsi="Times New Roman" w:cs="Times New Roman"/>
          <w:sz w:val="24"/>
          <w:szCs w:val="24"/>
        </w:rPr>
        <w:t xml:space="preserve"> </w:t>
      </w:r>
      <w:r w:rsidR="005E0D23">
        <w:rPr>
          <w:rFonts w:ascii="Times New Roman" w:hAnsi="Times New Roman" w:cs="Times New Roman"/>
          <w:sz w:val="24"/>
          <w:szCs w:val="24"/>
        </w:rPr>
        <w:t xml:space="preserve">The applicant avers that such conflation did not cause any problems until the </w:t>
      </w:r>
      <w:r w:rsidR="00A00D0A">
        <w:rPr>
          <w:rFonts w:ascii="Times New Roman" w:hAnsi="Times New Roman" w:cs="Times New Roman"/>
          <w:sz w:val="24"/>
          <w:szCs w:val="24"/>
        </w:rPr>
        <w:t xml:space="preserve">birth of the first respondent. </w:t>
      </w:r>
    </w:p>
    <w:p w14:paraId="354BAF64" w14:textId="46F1D83F" w:rsidR="00255711" w:rsidRDefault="00A00D0A" w:rsidP="00622E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the first respondent is a product of disgruntled former employees of the applicant. </w:t>
      </w:r>
      <w:r w:rsidR="00622ED0">
        <w:rPr>
          <w:rFonts w:ascii="Times New Roman" w:hAnsi="Times New Roman" w:cs="Times New Roman"/>
          <w:sz w:val="24"/>
          <w:szCs w:val="24"/>
        </w:rPr>
        <w:t xml:space="preserve">It acquired registration </w:t>
      </w:r>
      <w:r w:rsidR="00C963DE">
        <w:rPr>
          <w:rFonts w:ascii="Times New Roman" w:hAnsi="Times New Roman" w:cs="Times New Roman"/>
          <w:sz w:val="24"/>
          <w:szCs w:val="24"/>
        </w:rPr>
        <w:t xml:space="preserve">status </w:t>
      </w:r>
      <w:r w:rsidR="00622ED0">
        <w:rPr>
          <w:rFonts w:ascii="Times New Roman" w:hAnsi="Times New Roman" w:cs="Times New Roman"/>
          <w:sz w:val="24"/>
          <w:szCs w:val="24"/>
        </w:rPr>
        <w:t xml:space="preserve">as an employer association in 2021. Such registration entitled it to admission as a member of third respondent provided it met certain criteria </w:t>
      </w:r>
      <w:r w:rsidR="00622ED0">
        <w:rPr>
          <w:rFonts w:ascii="Times New Roman" w:hAnsi="Times New Roman" w:cs="Times New Roman"/>
          <w:sz w:val="24"/>
          <w:szCs w:val="24"/>
        </w:rPr>
        <w:lastRenderedPageBreak/>
        <w:t xml:space="preserve">established </w:t>
      </w:r>
      <w:r w:rsidR="00C963DE">
        <w:rPr>
          <w:rFonts w:ascii="Times New Roman" w:hAnsi="Times New Roman" w:cs="Times New Roman"/>
          <w:sz w:val="24"/>
          <w:szCs w:val="24"/>
        </w:rPr>
        <w:t xml:space="preserve">under the </w:t>
      </w:r>
      <w:r w:rsidR="00622ED0">
        <w:rPr>
          <w:rFonts w:ascii="Times New Roman" w:hAnsi="Times New Roman" w:cs="Times New Roman"/>
          <w:sz w:val="24"/>
          <w:szCs w:val="24"/>
        </w:rPr>
        <w:t>third respondent’s constitution. The secondment of its members to committees of the third respondent was subject to the proportional sharing of seats with existing employers’ associations after verification of its membership. Soon after its registration, the first responded pushed for its inclusion in the collective bargaining council</w:t>
      </w:r>
      <w:r w:rsidR="00C963DE">
        <w:rPr>
          <w:rFonts w:ascii="Times New Roman" w:hAnsi="Times New Roman" w:cs="Times New Roman"/>
          <w:sz w:val="24"/>
          <w:szCs w:val="24"/>
        </w:rPr>
        <w:t>,</w:t>
      </w:r>
      <w:r w:rsidR="00622ED0">
        <w:rPr>
          <w:rFonts w:ascii="Times New Roman" w:hAnsi="Times New Roman" w:cs="Times New Roman"/>
          <w:sz w:val="24"/>
          <w:szCs w:val="24"/>
        </w:rPr>
        <w:t xml:space="preserve"> as well as demanding </w:t>
      </w:r>
      <w:r w:rsidR="00C963DE">
        <w:rPr>
          <w:rFonts w:ascii="Times New Roman" w:hAnsi="Times New Roman" w:cs="Times New Roman"/>
          <w:sz w:val="24"/>
          <w:szCs w:val="24"/>
        </w:rPr>
        <w:t xml:space="preserve">the </w:t>
      </w:r>
      <w:r w:rsidR="00622ED0">
        <w:rPr>
          <w:rFonts w:ascii="Times New Roman" w:hAnsi="Times New Roman" w:cs="Times New Roman"/>
          <w:sz w:val="24"/>
          <w:szCs w:val="24"/>
        </w:rPr>
        <w:t xml:space="preserve">sharing of seats in third respondent’s </w:t>
      </w:r>
      <w:r w:rsidR="00A60F3E">
        <w:rPr>
          <w:rFonts w:ascii="Times New Roman" w:hAnsi="Times New Roman" w:cs="Times New Roman"/>
          <w:sz w:val="24"/>
          <w:szCs w:val="24"/>
        </w:rPr>
        <w:t>committees</w:t>
      </w:r>
      <w:r w:rsidR="00622ED0">
        <w:rPr>
          <w:rFonts w:ascii="Times New Roman" w:hAnsi="Times New Roman" w:cs="Times New Roman"/>
          <w:sz w:val="24"/>
          <w:szCs w:val="24"/>
        </w:rPr>
        <w:t xml:space="preserve">. </w:t>
      </w:r>
    </w:p>
    <w:p w14:paraId="6B2C64D3" w14:textId="2190EC67" w:rsidR="00600E97" w:rsidRDefault="00622ED0" w:rsidP="00622E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meeting was convened </w:t>
      </w:r>
      <w:r w:rsidR="0080503F">
        <w:rPr>
          <w:rFonts w:ascii="Times New Roman" w:hAnsi="Times New Roman" w:cs="Times New Roman"/>
          <w:sz w:val="24"/>
          <w:szCs w:val="24"/>
        </w:rPr>
        <w:t xml:space="preserve">for 7 February 2022, </w:t>
      </w:r>
      <w:r>
        <w:rPr>
          <w:rFonts w:ascii="Times New Roman" w:hAnsi="Times New Roman" w:cs="Times New Roman"/>
          <w:sz w:val="24"/>
          <w:szCs w:val="24"/>
        </w:rPr>
        <w:t xml:space="preserve">at which the seat sharing and verification process was supposed to be done. </w:t>
      </w:r>
      <w:r w:rsidR="00255711">
        <w:rPr>
          <w:rFonts w:ascii="Times New Roman" w:hAnsi="Times New Roman" w:cs="Times New Roman"/>
          <w:sz w:val="24"/>
          <w:szCs w:val="24"/>
        </w:rPr>
        <w:t xml:space="preserve">At the meeting, the question of the membership and representation of the applicant and GMAZ arose, with the first respondent </w:t>
      </w:r>
      <w:r w:rsidR="00C963DE">
        <w:rPr>
          <w:rFonts w:ascii="Times New Roman" w:hAnsi="Times New Roman" w:cs="Times New Roman"/>
          <w:sz w:val="24"/>
          <w:szCs w:val="24"/>
        </w:rPr>
        <w:t>alleging that the applicant was now</w:t>
      </w:r>
      <w:r w:rsidR="00255711">
        <w:rPr>
          <w:rFonts w:ascii="Times New Roman" w:hAnsi="Times New Roman" w:cs="Times New Roman"/>
          <w:sz w:val="24"/>
          <w:szCs w:val="24"/>
        </w:rPr>
        <w:t xml:space="preserve"> defunct. This was on account of the fact that the applicant was at all material times represented in the council by members of GMAZ. The third respondent was requested to make a ruling on the issue </w:t>
      </w:r>
      <w:r w:rsidR="00DF441F">
        <w:rPr>
          <w:rFonts w:ascii="Times New Roman" w:hAnsi="Times New Roman" w:cs="Times New Roman"/>
          <w:sz w:val="24"/>
          <w:szCs w:val="24"/>
        </w:rPr>
        <w:t>of</w:t>
      </w:r>
      <w:r w:rsidR="00255711">
        <w:rPr>
          <w:rFonts w:ascii="Times New Roman" w:hAnsi="Times New Roman" w:cs="Times New Roman"/>
          <w:sz w:val="24"/>
          <w:szCs w:val="24"/>
        </w:rPr>
        <w:t xml:space="preserve"> the applicant’s status in the council before the verification exercise could </w:t>
      </w:r>
      <w:r w:rsidR="00DF441F">
        <w:rPr>
          <w:rFonts w:ascii="Times New Roman" w:hAnsi="Times New Roman" w:cs="Times New Roman"/>
          <w:sz w:val="24"/>
          <w:szCs w:val="24"/>
        </w:rPr>
        <w:t>commence</w:t>
      </w:r>
      <w:r w:rsidR="00255711">
        <w:rPr>
          <w:rFonts w:ascii="Times New Roman" w:hAnsi="Times New Roman" w:cs="Times New Roman"/>
          <w:sz w:val="24"/>
          <w:szCs w:val="24"/>
        </w:rPr>
        <w:t xml:space="preserve">. The third respondent’s chairperson declined to make a ruling on the issue in light of the applicant’s registration. The issue was referred to a representative of the fourth respondent who was </w:t>
      </w:r>
      <w:r w:rsidR="00DF441F">
        <w:rPr>
          <w:rFonts w:ascii="Times New Roman" w:hAnsi="Times New Roman" w:cs="Times New Roman"/>
          <w:sz w:val="24"/>
          <w:szCs w:val="24"/>
        </w:rPr>
        <w:t xml:space="preserve">also </w:t>
      </w:r>
      <w:r w:rsidR="00255711">
        <w:rPr>
          <w:rFonts w:ascii="Times New Roman" w:hAnsi="Times New Roman" w:cs="Times New Roman"/>
          <w:sz w:val="24"/>
          <w:szCs w:val="24"/>
        </w:rPr>
        <w:t>in attendance. Th</w:t>
      </w:r>
      <w:r w:rsidR="00DF441F">
        <w:rPr>
          <w:rFonts w:ascii="Times New Roman" w:hAnsi="Times New Roman" w:cs="Times New Roman"/>
          <w:sz w:val="24"/>
          <w:szCs w:val="24"/>
        </w:rPr>
        <w:t xml:space="preserve">at </w:t>
      </w:r>
      <w:r w:rsidR="00255711">
        <w:rPr>
          <w:rFonts w:ascii="Times New Roman" w:hAnsi="Times New Roman" w:cs="Times New Roman"/>
          <w:sz w:val="24"/>
          <w:szCs w:val="24"/>
        </w:rPr>
        <w:t xml:space="preserve">representative </w:t>
      </w:r>
      <w:r w:rsidR="00DF441F">
        <w:rPr>
          <w:rFonts w:ascii="Times New Roman" w:hAnsi="Times New Roman" w:cs="Times New Roman"/>
          <w:sz w:val="24"/>
          <w:szCs w:val="24"/>
        </w:rPr>
        <w:t>a</w:t>
      </w:r>
      <w:r w:rsidR="00255711">
        <w:rPr>
          <w:rFonts w:ascii="Times New Roman" w:hAnsi="Times New Roman" w:cs="Times New Roman"/>
          <w:sz w:val="24"/>
          <w:szCs w:val="24"/>
        </w:rPr>
        <w:t>lso declined to deal with the matter at that point as the complaint had not been formally registered with the fourth respondent</w:t>
      </w:r>
      <w:r w:rsidR="00DF441F">
        <w:rPr>
          <w:rFonts w:ascii="Times New Roman" w:hAnsi="Times New Roman" w:cs="Times New Roman"/>
          <w:sz w:val="24"/>
          <w:szCs w:val="24"/>
        </w:rPr>
        <w:t>’s office</w:t>
      </w:r>
      <w:r w:rsidR="00255711">
        <w:rPr>
          <w:rFonts w:ascii="Times New Roman" w:hAnsi="Times New Roman" w:cs="Times New Roman"/>
          <w:sz w:val="24"/>
          <w:szCs w:val="24"/>
        </w:rPr>
        <w:t xml:space="preserve">. </w:t>
      </w:r>
    </w:p>
    <w:p w14:paraId="654707DB" w14:textId="360068BE" w:rsidR="0080503F" w:rsidRDefault="00600E97" w:rsidP="00622E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sought an </w:t>
      </w:r>
      <w:r w:rsidR="004A1ACA">
        <w:rPr>
          <w:rFonts w:ascii="Times New Roman" w:hAnsi="Times New Roman" w:cs="Times New Roman"/>
          <w:sz w:val="24"/>
          <w:szCs w:val="24"/>
        </w:rPr>
        <w:t>adjournment</w:t>
      </w:r>
      <w:r>
        <w:rPr>
          <w:rFonts w:ascii="Times New Roman" w:hAnsi="Times New Roman" w:cs="Times New Roman"/>
          <w:sz w:val="24"/>
          <w:szCs w:val="24"/>
        </w:rPr>
        <w:t xml:space="preserve"> of the meeting to allow it time to take up the matter with the fourth respondent. </w:t>
      </w:r>
      <w:r w:rsidR="004A1ACA">
        <w:rPr>
          <w:rFonts w:ascii="Times New Roman" w:hAnsi="Times New Roman" w:cs="Times New Roman"/>
          <w:sz w:val="24"/>
          <w:szCs w:val="24"/>
        </w:rPr>
        <w:t xml:space="preserve">Accordingly no membership verification was then carried out. </w:t>
      </w:r>
      <w:r w:rsidR="008808AB">
        <w:rPr>
          <w:rFonts w:ascii="Times New Roman" w:hAnsi="Times New Roman" w:cs="Times New Roman"/>
          <w:sz w:val="24"/>
          <w:szCs w:val="24"/>
        </w:rPr>
        <w:t xml:space="preserve">The applicant claims it had brought along </w:t>
      </w:r>
      <w:r w:rsidR="0080503F">
        <w:rPr>
          <w:rFonts w:ascii="Times New Roman" w:hAnsi="Times New Roman" w:cs="Times New Roman"/>
          <w:sz w:val="24"/>
          <w:szCs w:val="24"/>
        </w:rPr>
        <w:t xml:space="preserve">to the meeting, </w:t>
      </w:r>
      <w:r w:rsidR="008808AB">
        <w:rPr>
          <w:rFonts w:ascii="Times New Roman" w:hAnsi="Times New Roman" w:cs="Times New Roman"/>
          <w:sz w:val="24"/>
          <w:szCs w:val="24"/>
        </w:rPr>
        <w:t xml:space="preserve">a complete register of its own membership. </w:t>
      </w:r>
      <w:r w:rsidR="00DF441F">
        <w:rPr>
          <w:rFonts w:ascii="Times New Roman" w:hAnsi="Times New Roman" w:cs="Times New Roman"/>
          <w:sz w:val="24"/>
          <w:szCs w:val="24"/>
        </w:rPr>
        <w:t xml:space="preserve">It further claims that </w:t>
      </w:r>
      <w:r w:rsidR="0080503F">
        <w:rPr>
          <w:rFonts w:ascii="Times New Roman" w:hAnsi="Times New Roman" w:cs="Times New Roman"/>
          <w:sz w:val="24"/>
          <w:szCs w:val="24"/>
        </w:rPr>
        <w:t xml:space="preserve">the first respondent failed to produce a register of its own members. The applicant claims that the first respondent only </w:t>
      </w:r>
      <w:r w:rsidR="00DF441F">
        <w:rPr>
          <w:rFonts w:ascii="Times New Roman" w:hAnsi="Times New Roman" w:cs="Times New Roman"/>
          <w:sz w:val="24"/>
          <w:szCs w:val="24"/>
        </w:rPr>
        <w:t xml:space="preserve">had </w:t>
      </w:r>
      <w:r w:rsidR="0080503F">
        <w:rPr>
          <w:rFonts w:ascii="Times New Roman" w:hAnsi="Times New Roman" w:cs="Times New Roman"/>
          <w:sz w:val="24"/>
          <w:szCs w:val="24"/>
        </w:rPr>
        <w:t xml:space="preserve">one member. </w:t>
      </w:r>
    </w:p>
    <w:p w14:paraId="4361B8DB" w14:textId="6296AE93" w:rsidR="00C253AC" w:rsidRDefault="0080503F" w:rsidP="00622E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aborted meeting, on 11 February 2022, the third respondent’s General Secretary wrote to the fourth respondent seeking his intervention </w:t>
      </w:r>
      <w:r w:rsidR="00DF441F">
        <w:rPr>
          <w:rFonts w:ascii="Times New Roman" w:hAnsi="Times New Roman" w:cs="Times New Roman"/>
          <w:sz w:val="24"/>
          <w:szCs w:val="24"/>
        </w:rPr>
        <w:t>i</w:t>
      </w:r>
      <w:r>
        <w:rPr>
          <w:rFonts w:ascii="Times New Roman" w:hAnsi="Times New Roman" w:cs="Times New Roman"/>
          <w:sz w:val="24"/>
          <w:szCs w:val="24"/>
        </w:rPr>
        <w:t xml:space="preserve">n the matter. </w:t>
      </w:r>
      <w:r w:rsidR="00C253AC">
        <w:rPr>
          <w:rFonts w:ascii="Times New Roman" w:hAnsi="Times New Roman" w:cs="Times New Roman"/>
          <w:sz w:val="24"/>
          <w:szCs w:val="24"/>
        </w:rPr>
        <w:t>The letter reads in part as follows:</w:t>
      </w:r>
    </w:p>
    <w:p w14:paraId="1446CCE9" w14:textId="4927B440" w:rsidR="00D51238" w:rsidRPr="00E71455" w:rsidRDefault="00C253AC" w:rsidP="00E71455">
      <w:pPr>
        <w:spacing w:after="0" w:line="240" w:lineRule="auto"/>
        <w:ind w:firstLine="720"/>
        <w:jc w:val="both"/>
        <w:rPr>
          <w:rFonts w:ascii="Times New Roman" w:hAnsi="Times New Roman" w:cs="Times New Roman"/>
          <w:b/>
        </w:rPr>
      </w:pPr>
      <w:r w:rsidRPr="00E71455">
        <w:rPr>
          <w:rFonts w:ascii="Times New Roman" w:hAnsi="Times New Roman" w:cs="Times New Roman"/>
          <w:b/>
        </w:rPr>
        <w:t>“RE: STALEMATE IN THE MILLING INDUSTRY</w:t>
      </w:r>
      <w:r w:rsidR="0080503F" w:rsidRPr="00E71455">
        <w:rPr>
          <w:rFonts w:ascii="Times New Roman" w:hAnsi="Times New Roman" w:cs="Times New Roman"/>
          <w:b/>
        </w:rPr>
        <w:t xml:space="preserve"> </w:t>
      </w:r>
    </w:p>
    <w:p w14:paraId="133AE80D" w14:textId="61BF4DD6" w:rsidR="00C253AC" w:rsidRPr="00E71455" w:rsidRDefault="00C253AC" w:rsidP="00E71455">
      <w:pPr>
        <w:spacing w:after="0" w:line="240" w:lineRule="auto"/>
        <w:ind w:firstLine="720"/>
        <w:jc w:val="both"/>
        <w:rPr>
          <w:rFonts w:ascii="Times New Roman" w:hAnsi="Times New Roman" w:cs="Times New Roman"/>
        </w:rPr>
      </w:pPr>
      <w:r w:rsidRPr="00E71455">
        <w:rPr>
          <w:rFonts w:ascii="Times New Roman" w:hAnsi="Times New Roman" w:cs="Times New Roman"/>
        </w:rPr>
        <w:t>………………………..</w:t>
      </w:r>
    </w:p>
    <w:p w14:paraId="4D196187" w14:textId="5ECABF48" w:rsidR="00C253AC" w:rsidRDefault="00C253AC" w:rsidP="00E71455">
      <w:pPr>
        <w:spacing w:after="0" w:line="240" w:lineRule="auto"/>
        <w:ind w:left="720"/>
        <w:jc w:val="both"/>
        <w:rPr>
          <w:rFonts w:ascii="Times New Roman" w:hAnsi="Times New Roman" w:cs="Times New Roman"/>
        </w:rPr>
      </w:pPr>
      <w:r w:rsidRPr="00E71455">
        <w:rPr>
          <w:rFonts w:ascii="Times New Roman" w:hAnsi="Times New Roman" w:cs="Times New Roman"/>
        </w:rPr>
        <w:t>We hereby seek your intervention in resolving the verification of Registration Certificates and other attendant issues among the Milling Industry parties.</w:t>
      </w:r>
    </w:p>
    <w:p w14:paraId="6331BCDB" w14:textId="0F4577B6" w:rsidR="00E71455" w:rsidRDefault="00E71455" w:rsidP="00E71455">
      <w:pPr>
        <w:spacing w:after="0" w:line="240" w:lineRule="auto"/>
        <w:ind w:left="720"/>
        <w:jc w:val="both"/>
        <w:rPr>
          <w:rFonts w:ascii="Times New Roman" w:hAnsi="Times New Roman" w:cs="Times New Roman"/>
        </w:rPr>
      </w:pPr>
      <w:r>
        <w:rPr>
          <w:rFonts w:ascii="Times New Roman" w:hAnsi="Times New Roman" w:cs="Times New Roman"/>
        </w:rPr>
        <w:t>We thank you for your usual support and guidance.</w:t>
      </w:r>
    </w:p>
    <w:p w14:paraId="1D88417F" w14:textId="139D3625" w:rsidR="00E71455" w:rsidRDefault="00E71455" w:rsidP="00E71455">
      <w:pPr>
        <w:spacing w:after="0" w:line="240" w:lineRule="auto"/>
        <w:ind w:left="720"/>
        <w:jc w:val="both"/>
        <w:rPr>
          <w:rFonts w:ascii="Times New Roman" w:hAnsi="Times New Roman" w:cs="Times New Roman"/>
        </w:rPr>
      </w:pPr>
      <w:r>
        <w:rPr>
          <w:rFonts w:ascii="Times New Roman" w:hAnsi="Times New Roman" w:cs="Times New Roman"/>
        </w:rPr>
        <w:t>……………….”</w:t>
      </w:r>
    </w:p>
    <w:p w14:paraId="1132DABF" w14:textId="77777777" w:rsidR="00E71455" w:rsidRDefault="00E71455" w:rsidP="00E71455">
      <w:pPr>
        <w:spacing w:after="0" w:line="240" w:lineRule="auto"/>
        <w:jc w:val="both"/>
        <w:rPr>
          <w:rFonts w:ascii="Times New Roman" w:hAnsi="Times New Roman" w:cs="Times New Roman"/>
        </w:rPr>
      </w:pPr>
    </w:p>
    <w:p w14:paraId="4A041D2A" w14:textId="49B4191D" w:rsidR="00E71455" w:rsidRDefault="00E71455" w:rsidP="00E71455">
      <w:pPr>
        <w:spacing w:after="0" w:line="360" w:lineRule="auto"/>
        <w:jc w:val="both"/>
        <w:rPr>
          <w:rFonts w:ascii="Times New Roman" w:hAnsi="Times New Roman" w:cs="Times New Roman"/>
          <w:sz w:val="24"/>
          <w:szCs w:val="24"/>
        </w:rPr>
      </w:pPr>
      <w:r w:rsidRPr="00E71455">
        <w:rPr>
          <w:rFonts w:ascii="Times New Roman" w:hAnsi="Times New Roman" w:cs="Times New Roman"/>
          <w:sz w:val="24"/>
          <w:szCs w:val="24"/>
        </w:rPr>
        <w:t>The fourth respondent responded through a letter of 17 March 2022. The letter reads in part as follows</w:t>
      </w:r>
      <w:r w:rsidR="00DF441F">
        <w:rPr>
          <w:rFonts w:ascii="Times New Roman" w:hAnsi="Times New Roman" w:cs="Times New Roman"/>
          <w:sz w:val="24"/>
          <w:szCs w:val="24"/>
        </w:rPr>
        <w:t>:</w:t>
      </w:r>
    </w:p>
    <w:p w14:paraId="66FE98CB" w14:textId="30BC9E6A" w:rsidR="00E71455" w:rsidRPr="00E71455" w:rsidRDefault="00E71455" w:rsidP="00E71455">
      <w:pPr>
        <w:spacing w:after="0" w:line="240" w:lineRule="auto"/>
        <w:ind w:left="720"/>
        <w:jc w:val="both"/>
        <w:rPr>
          <w:rFonts w:ascii="Times New Roman" w:hAnsi="Times New Roman" w:cs="Times New Roman"/>
          <w:b/>
        </w:rPr>
      </w:pPr>
      <w:r w:rsidRPr="00E71455">
        <w:rPr>
          <w:rFonts w:ascii="Times New Roman" w:hAnsi="Times New Roman" w:cs="Times New Roman"/>
          <w:b/>
        </w:rPr>
        <w:lastRenderedPageBreak/>
        <w:t>“REF: VERIFICATION OF REGISTRATION CERTIFICATES OF PARTIES TO THE MILLING INDUSTRY</w:t>
      </w:r>
    </w:p>
    <w:p w14:paraId="5038818E" w14:textId="5A96721F" w:rsidR="00E71455" w:rsidRDefault="00E71455" w:rsidP="00E71455">
      <w:pPr>
        <w:spacing w:after="0" w:line="240" w:lineRule="auto"/>
        <w:jc w:val="both"/>
        <w:rPr>
          <w:rFonts w:ascii="Times New Roman" w:hAnsi="Times New Roman" w:cs="Times New Roman"/>
        </w:rPr>
      </w:pPr>
      <w:r w:rsidRPr="00E71455">
        <w:rPr>
          <w:rFonts w:ascii="Times New Roman" w:hAnsi="Times New Roman" w:cs="Times New Roman"/>
        </w:rPr>
        <w:tab/>
        <w:t>……………………………………</w:t>
      </w:r>
    </w:p>
    <w:p w14:paraId="0C529950" w14:textId="27D0C3EA" w:rsidR="0007024E" w:rsidRDefault="00E71455" w:rsidP="00E71455">
      <w:pPr>
        <w:spacing w:after="0" w:line="240" w:lineRule="auto"/>
        <w:ind w:left="720"/>
        <w:jc w:val="both"/>
        <w:rPr>
          <w:rFonts w:ascii="Times New Roman" w:hAnsi="Times New Roman" w:cs="Times New Roman"/>
        </w:rPr>
      </w:pPr>
      <w:r>
        <w:rPr>
          <w:rFonts w:ascii="Times New Roman" w:hAnsi="Times New Roman" w:cs="Times New Roman"/>
        </w:rPr>
        <w:t>Reference is made to your letter dated 11 February 2022 in which you requested for</w:t>
      </w:r>
      <w:r w:rsidR="00600BFC">
        <w:rPr>
          <w:rFonts w:ascii="Times New Roman" w:hAnsi="Times New Roman" w:cs="Times New Roman"/>
        </w:rPr>
        <w:t xml:space="preserve"> </w:t>
      </w:r>
      <w:r>
        <w:rPr>
          <w:rFonts w:ascii="Times New Roman" w:hAnsi="Times New Roman" w:cs="Times New Roman"/>
        </w:rPr>
        <w:t xml:space="preserve">our intervention through the verification of Registration Certificates among </w:t>
      </w:r>
      <w:r w:rsidR="00F718AB">
        <w:rPr>
          <w:rFonts w:ascii="Times New Roman" w:hAnsi="Times New Roman" w:cs="Times New Roman"/>
        </w:rPr>
        <w:t>milling</w:t>
      </w:r>
      <w:r>
        <w:rPr>
          <w:rFonts w:ascii="Times New Roman" w:hAnsi="Times New Roman" w:cs="Times New Roman"/>
        </w:rPr>
        <w:t xml:space="preserve"> industry parties. </w:t>
      </w:r>
      <w:r w:rsidR="00600BFC">
        <w:rPr>
          <w:rFonts w:ascii="Times New Roman" w:hAnsi="Times New Roman" w:cs="Times New Roman"/>
        </w:rPr>
        <w:t>May you please</w:t>
      </w:r>
      <w:r w:rsidR="00C67FDB">
        <w:rPr>
          <w:rFonts w:ascii="Times New Roman" w:hAnsi="Times New Roman" w:cs="Times New Roman"/>
        </w:rPr>
        <w:t xml:space="preserve"> clarify the sort of intervention required </w:t>
      </w:r>
      <w:r w:rsidR="0007024E">
        <w:rPr>
          <w:rFonts w:ascii="Times New Roman" w:hAnsi="Times New Roman" w:cs="Times New Roman"/>
        </w:rPr>
        <w:t>and also provide the names of parties whose Registration certificates you require.</w:t>
      </w:r>
    </w:p>
    <w:p w14:paraId="6D9B15B1" w14:textId="77777777" w:rsidR="0007024E" w:rsidRDefault="0007024E" w:rsidP="00E71455">
      <w:pPr>
        <w:spacing w:after="0" w:line="240" w:lineRule="auto"/>
        <w:ind w:left="720"/>
        <w:jc w:val="both"/>
        <w:rPr>
          <w:rFonts w:ascii="Times New Roman" w:hAnsi="Times New Roman" w:cs="Times New Roman"/>
        </w:rPr>
      </w:pPr>
    </w:p>
    <w:p w14:paraId="22CAB1D2" w14:textId="77777777" w:rsidR="0007024E" w:rsidRDefault="0007024E" w:rsidP="00E71455">
      <w:pPr>
        <w:spacing w:after="0" w:line="240" w:lineRule="auto"/>
        <w:ind w:left="720"/>
        <w:jc w:val="both"/>
        <w:rPr>
          <w:rFonts w:ascii="Times New Roman" w:hAnsi="Times New Roman" w:cs="Times New Roman"/>
        </w:rPr>
      </w:pPr>
      <w:r>
        <w:rPr>
          <w:rFonts w:ascii="Times New Roman" w:hAnsi="Times New Roman" w:cs="Times New Roman"/>
        </w:rPr>
        <w:t>Please be guided accordingly</w:t>
      </w:r>
    </w:p>
    <w:p w14:paraId="6CE075A4" w14:textId="77777777" w:rsidR="0007024E" w:rsidRDefault="0007024E" w:rsidP="00E71455">
      <w:pPr>
        <w:spacing w:after="0" w:line="240" w:lineRule="auto"/>
        <w:ind w:left="720"/>
        <w:jc w:val="both"/>
        <w:rPr>
          <w:rFonts w:ascii="Times New Roman" w:hAnsi="Times New Roman" w:cs="Times New Roman"/>
        </w:rPr>
      </w:pPr>
      <w:r>
        <w:rPr>
          <w:rFonts w:ascii="Times New Roman" w:hAnsi="Times New Roman" w:cs="Times New Roman"/>
        </w:rPr>
        <w:t>………………..”</w:t>
      </w:r>
    </w:p>
    <w:p w14:paraId="070F878D" w14:textId="77777777" w:rsidR="0007024E" w:rsidRDefault="0007024E" w:rsidP="0007024E">
      <w:pPr>
        <w:spacing w:after="0" w:line="240" w:lineRule="auto"/>
        <w:jc w:val="both"/>
        <w:rPr>
          <w:rFonts w:ascii="Times New Roman" w:hAnsi="Times New Roman" w:cs="Times New Roman"/>
        </w:rPr>
      </w:pPr>
    </w:p>
    <w:p w14:paraId="131815F1" w14:textId="69EC8EEF" w:rsidR="00D77F6A" w:rsidRDefault="0007024E" w:rsidP="00DF441F">
      <w:pPr>
        <w:spacing w:after="0" w:line="360" w:lineRule="auto"/>
        <w:ind w:firstLine="720"/>
        <w:jc w:val="both"/>
        <w:rPr>
          <w:rFonts w:ascii="Times New Roman" w:hAnsi="Times New Roman" w:cs="Times New Roman"/>
          <w:sz w:val="24"/>
          <w:szCs w:val="24"/>
        </w:rPr>
      </w:pPr>
      <w:r w:rsidRPr="0007024E">
        <w:rPr>
          <w:rFonts w:ascii="Times New Roman" w:hAnsi="Times New Roman" w:cs="Times New Roman"/>
          <w:sz w:val="24"/>
          <w:szCs w:val="24"/>
        </w:rPr>
        <w:t xml:space="preserve">The applicant claims that the letter did not </w:t>
      </w:r>
      <w:r>
        <w:rPr>
          <w:rFonts w:ascii="Times New Roman" w:hAnsi="Times New Roman" w:cs="Times New Roman"/>
          <w:sz w:val="24"/>
          <w:szCs w:val="24"/>
        </w:rPr>
        <w:t xml:space="preserve">elicit </w:t>
      </w:r>
      <w:r w:rsidRPr="0007024E">
        <w:rPr>
          <w:rFonts w:ascii="Times New Roman" w:hAnsi="Times New Roman" w:cs="Times New Roman"/>
          <w:sz w:val="24"/>
          <w:szCs w:val="24"/>
        </w:rPr>
        <w:t xml:space="preserve">a response from the </w:t>
      </w:r>
      <w:r>
        <w:rPr>
          <w:rFonts w:ascii="Times New Roman" w:hAnsi="Times New Roman" w:cs="Times New Roman"/>
          <w:sz w:val="24"/>
          <w:szCs w:val="24"/>
        </w:rPr>
        <w:t>third respondent.</w:t>
      </w:r>
      <w:r w:rsidR="002C7035">
        <w:rPr>
          <w:rFonts w:ascii="Times New Roman" w:hAnsi="Times New Roman" w:cs="Times New Roman"/>
          <w:sz w:val="24"/>
          <w:szCs w:val="24"/>
        </w:rPr>
        <w:t xml:space="preserve"> The applicant asserts that it received an alert from one of its members that there was communication from </w:t>
      </w:r>
      <w:r w:rsidR="003649C1">
        <w:rPr>
          <w:rFonts w:ascii="Times New Roman" w:hAnsi="Times New Roman" w:cs="Times New Roman"/>
          <w:sz w:val="24"/>
          <w:szCs w:val="24"/>
        </w:rPr>
        <w:t xml:space="preserve">the </w:t>
      </w:r>
      <w:r w:rsidR="003649C1" w:rsidRPr="003649C1">
        <w:rPr>
          <w:rFonts w:ascii="Times New Roman" w:hAnsi="Times New Roman" w:cs="Times New Roman"/>
          <w:sz w:val="24"/>
          <w:szCs w:val="24"/>
        </w:rPr>
        <w:t xml:space="preserve">United Food and Allied Workers Union of Zimbabwe, </w:t>
      </w:r>
      <w:r w:rsidR="003649C1">
        <w:rPr>
          <w:rFonts w:ascii="Times New Roman" w:hAnsi="Times New Roman" w:cs="Times New Roman"/>
          <w:sz w:val="24"/>
          <w:szCs w:val="24"/>
        </w:rPr>
        <w:t>(</w:t>
      </w:r>
      <w:r w:rsidR="002C7035">
        <w:rPr>
          <w:rFonts w:ascii="Times New Roman" w:hAnsi="Times New Roman" w:cs="Times New Roman"/>
          <w:sz w:val="24"/>
          <w:szCs w:val="24"/>
        </w:rPr>
        <w:t>UFAWUZ</w:t>
      </w:r>
      <w:r w:rsidR="003649C1">
        <w:rPr>
          <w:rFonts w:ascii="Times New Roman" w:hAnsi="Times New Roman" w:cs="Times New Roman"/>
          <w:sz w:val="24"/>
          <w:szCs w:val="24"/>
        </w:rPr>
        <w:t>)</w:t>
      </w:r>
      <w:r w:rsidR="002C7035">
        <w:rPr>
          <w:rFonts w:ascii="Times New Roman" w:hAnsi="Times New Roman" w:cs="Times New Roman"/>
          <w:sz w:val="24"/>
          <w:szCs w:val="24"/>
        </w:rPr>
        <w:t xml:space="preserve"> suggesting that the meeting of 7 February 2022 was </w:t>
      </w:r>
      <w:r w:rsidR="00D02C25">
        <w:rPr>
          <w:rFonts w:ascii="Times New Roman" w:hAnsi="Times New Roman" w:cs="Times New Roman"/>
          <w:sz w:val="24"/>
          <w:szCs w:val="24"/>
        </w:rPr>
        <w:t xml:space="preserve">all but </w:t>
      </w:r>
      <w:r w:rsidR="002C7035">
        <w:rPr>
          <w:rFonts w:ascii="Times New Roman" w:hAnsi="Times New Roman" w:cs="Times New Roman"/>
          <w:sz w:val="24"/>
          <w:szCs w:val="24"/>
        </w:rPr>
        <w:t>conclusive</w:t>
      </w:r>
      <w:r w:rsidR="00D02C25">
        <w:rPr>
          <w:rFonts w:ascii="Times New Roman" w:hAnsi="Times New Roman" w:cs="Times New Roman"/>
          <w:sz w:val="24"/>
          <w:szCs w:val="24"/>
        </w:rPr>
        <w:t xml:space="preserve"> as regards the matters discussed thereat</w:t>
      </w:r>
      <w:r w:rsidR="002C7035">
        <w:rPr>
          <w:rFonts w:ascii="Times New Roman" w:hAnsi="Times New Roman" w:cs="Times New Roman"/>
          <w:sz w:val="24"/>
          <w:szCs w:val="24"/>
        </w:rPr>
        <w:t xml:space="preserve">. </w:t>
      </w:r>
      <w:r w:rsidR="00D77F6A">
        <w:rPr>
          <w:rFonts w:ascii="Times New Roman" w:hAnsi="Times New Roman" w:cs="Times New Roman"/>
          <w:sz w:val="24"/>
          <w:szCs w:val="24"/>
        </w:rPr>
        <w:t>The letter dated 8 February 2022, and addressed to the third respondent read in part as follows:</w:t>
      </w:r>
    </w:p>
    <w:p w14:paraId="44DF4744" w14:textId="3B15F55C" w:rsidR="002D3299" w:rsidRPr="00D163C8" w:rsidRDefault="00D77F6A" w:rsidP="00D163C8">
      <w:pPr>
        <w:spacing w:after="0" w:line="240" w:lineRule="auto"/>
        <w:ind w:left="720"/>
        <w:jc w:val="both"/>
        <w:rPr>
          <w:rFonts w:ascii="Times New Roman" w:hAnsi="Times New Roman" w:cs="Times New Roman"/>
          <w:u w:val="single"/>
        </w:rPr>
      </w:pPr>
      <w:r w:rsidRPr="00D163C8">
        <w:rPr>
          <w:rFonts w:ascii="Times New Roman" w:hAnsi="Times New Roman" w:cs="Times New Roman"/>
          <w:u w:val="single"/>
        </w:rPr>
        <w:t>“</w:t>
      </w:r>
      <w:r w:rsidR="002D3299" w:rsidRPr="00D163C8">
        <w:rPr>
          <w:rFonts w:ascii="Times New Roman" w:hAnsi="Times New Roman" w:cs="Times New Roman"/>
          <w:u w:val="single"/>
        </w:rPr>
        <w:t>RESUMPTION OF COLLECTIVE BARGAINING MEETINGS IN THE MILLING INDUSTRY SUBSECTOR UNDERTAKING: WAGE STALEMATE FOR 2021 AND GOING FORWARD</w:t>
      </w:r>
    </w:p>
    <w:p w14:paraId="2DB1ABC4" w14:textId="7653188D" w:rsidR="00D77F6A" w:rsidRDefault="002D3299" w:rsidP="00D163C8">
      <w:pPr>
        <w:spacing w:after="0" w:line="240" w:lineRule="auto"/>
        <w:ind w:left="720"/>
        <w:jc w:val="both"/>
        <w:rPr>
          <w:rFonts w:ascii="Times New Roman" w:hAnsi="Times New Roman" w:cs="Times New Roman"/>
        </w:rPr>
      </w:pPr>
      <w:r w:rsidRPr="00D163C8">
        <w:rPr>
          <w:rFonts w:ascii="Times New Roman" w:hAnsi="Times New Roman" w:cs="Times New Roman"/>
        </w:rPr>
        <w:t>Following Trade Union enquiry on sharing of seats between Grain Millers Association of Zimbabwe and Small to Medium Millers Employers Association of Zimbabwe</w:t>
      </w:r>
      <w:r w:rsidR="00D163C8">
        <w:rPr>
          <w:rFonts w:ascii="Times New Roman" w:hAnsi="Times New Roman" w:cs="Times New Roman"/>
        </w:rPr>
        <w:t>, and the feedback thereto and notwithstanding the 2021 wage stalemate, the Trade Union observes the following:</w:t>
      </w:r>
    </w:p>
    <w:p w14:paraId="21D7FEB5" w14:textId="77777777" w:rsidR="00D163C8" w:rsidRDefault="00D163C8" w:rsidP="00D163C8">
      <w:pPr>
        <w:spacing w:after="0" w:line="240" w:lineRule="auto"/>
        <w:ind w:left="720"/>
        <w:jc w:val="both"/>
        <w:rPr>
          <w:rFonts w:ascii="Times New Roman" w:hAnsi="Times New Roman" w:cs="Times New Roman"/>
        </w:rPr>
      </w:pPr>
    </w:p>
    <w:p w14:paraId="6CE1DF44" w14:textId="2E504CDD" w:rsidR="00D163C8" w:rsidRDefault="00D163C8"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The issue of whether Grain Millers Association of Zimbabwe is a registered employer Association or not is a fundamental issue in that the Trade Union at law is supposed to deal and work with a duly registered employers Association, registered in the industry or Subsector undertaking. This conclusion ought not and should not be construed as Trade Union interference in the intra challenges within the employer parties.</w:t>
      </w:r>
    </w:p>
    <w:p w14:paraId="59A17F5E" w14:textId="51BCE649" w:rsidR="00D163C8" w:rsidRDefault="00D163C8" w:rsidP="00D163C8">
      <w:pPr>
        <w:pStyle w:val="ListParagraph"/>
        <w:spacing w:after="0" w:line="240" w:lineRule="auto"/>
        <w:ind w:left="1080"/>
        <w:jc w:val="both"/>
        <w:rPr>
          <w:rFonts w:ascii="Times New Roman" w:hAnsi="Times New Roman" w:cs="Times New Roman"/>
        </w:rPr>
      </w:pPr>
      <w:r>
        <w:rPr>
          <w:rFonts w:ascii="Times New Roman" w:hAnsi="Times New Roman" w:cs="Times New Roman"/>
        </w:rPr>
        <w:t>It is a simple affirmation of what the law states and requires.</w:t>
      </w:r>
    </w:p>
    <w:p w14:paraId="209925EA" w14:textId="37CE139D" w:rsidR="00D163C8" w:rsidRDefault="00D163C8"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The Trade Union is available and ready to resume wage negotiations as soon as employer party is properly constituted.</w:t>
      </w:r>
    </w:p>
    <w:p w14:paraId="56DB580F" w14:textId="3BBAE1A6" w:rsidR="00D163C8" w:rsidRDefault="00D163C8"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We further acknowledge the feedback of the meeting of the employer party on sharing of seats, which feedback shows that the employer party notwithstanding some housekeeping issues is now properly </w:t>
      </w:r>
      <w:r w:rsidR="00FF123C">
        <w:rPr>
          <w:rFonts w:ascii="Times New Roman" w:hAnsi="Times New Roman" w:cs="Times New Roman"/>
        </w:rPr>
        <w:t>constituted.</w:t>
      </w:r>
    </w:p>
    <w:p w14:paraId="4C0D77D4" w14:textId="3EDB7FCB" w:rsidR="00FF123C" w:rsidRDefault="00FF123C"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w:t>
      </w:r>
    </w:p>
    <w:p w14:paraId="7FDC3B4A" w14:textId="4316229A" w:rsidR="00FF123C" w:rsidRDefault="00FF123C"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The so called dispute between the two employer Associations cannot and will not scuttle any prospects of wage negotiations in the Milling Industry going forward.</w:t>
      </w:r>
    </w:p>
    <w:p w14:paraId="78C545DD" w14:textId="2B45D9B2" w:rsidR="00FF123C" w:rsidRDefault="00FF123C"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The so called dispute between the two can still be resolved while wage negotiations and other subsector undertaking related issues are ongoing.</w:t>
      </w:r>
    </w:p>
    <w:p w14:paraId="31BD580F" w14:textId="29A79B31" w:rsidR="00FF123C" w:rsidRDefault="00FF123C" w:rsidP="00FF123C">
      <w:pPr>
        <w:pStyle w:val="ListParagraph"/>
        <w:spacing w:after="0" w:line="240" w:lineRule="auto"/>
        <w:ind w:left="1080"/>
        <w:jc w:val="both"/>
        <w:rPr>
          <w:rFonts w:ascii="Times New Roman" w:hAnsi="Times New Roman" w:cs="Times New Roman"/>
        </w:rPr>
      </w:pPr>
      <w:r>
        <w:rPr>
          <w:rFonts w:ascii="Times New Roman" w:hAnsi="Times New Roman" w:cs="Times New Roman"/>
        </w:rPr>
        <w:t>It is against this background and observation that the Trade Union wishes to inform the General Secretary of the N.E.C, the following:-</w:t>
      </w:r>
    </w:p>
    <w:p w14:paraId="433A3667" w14:textId="0376370B" w:rsidR="00FF123C" w:rsidRDefault="00FF123C"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There is a registered employer Association whose certificate of registration is not subject to dispute by all.</w:t>
      </w:r>
    </w:p>
    <w:p w14:paraId="1DF963CB" w14:textId="19F440BE" w:rsidR="00FF123C" w:rsidRDefault="00FF123C"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The workers in the Milling Industry can no longer wait for the resolution of the so called dispute while they wallow in employer induced poverty as their wage was last reviewed in October 2020.</w:t>
      </w:r>
    </w:p>
    <w:p w14:paraId="4B5B5650" w14:textId="77777777" w:rsidR="00DB256A" w:rsidRDefault="00FF123C"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lastRenderedPageBreak/>
        <w:t>Milling Industry Workers Union has thus resolved that forthwith they begin negotiations and other subsector undertaking related business with an Employer Association whose certificate of registration is not in dispute</w:t>
      </w:r>
      <w:r w:rsidR="00DB256A">
        <w:rPr>
          <w:rFonts w:ascii="Times New Roman" w:hAnsi="Times New Roman" w:cs="Times New Roman"/>
        </w:rPr>
        <w:t>. In line with the lawful position the Union will not deal with an Employers Association without a registration certificate or one which is renting a certificate of a now defunct employer Association.</w:t>
      </w:r>
    </w:p>
    <w:p w14:paraId="670549E3" w14:textId="77777777" w:rsidR="00DB256A" w:rsidRDefault="00DB256A" w:rsidP="00D163C8">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In light of this take notice that a meeting for Collective Bargaining by agreement has been slated for Friday 11 February 2022 at a venue to be communicated.</w:t>
      </w:r>
    </w:p>
    <w:p w14:paraId="692A61BB" w14:textId="69512E18" w:rsidR="00FF123C" w:rsidRPr="00D163C8" w:rsidRDefault="00DB256A" w:rsidP="00DB256A">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 </w:t>
      </w:r>
    </w:p>
    <w:p w14:paraId="28DC2DDB" w14:textId="77777777" w:rsidR="00D163C8" w:rsidRPr="00D163C8" w:rsidRDefault="00D163C8" w:rsidP="00D163C8">
      <w:pPr>
        <w:spacing w:after="0" w:line="240" w:lineRule="auto"/>
        <w:ind w:left="720"/>
        <w:jc w:val="both"/>
        <w:rPr>
          <w:rFonts w:ascii="Times New Roman" w:hAnsi="Times New Roman" w:cs="Times New Roman"/>
        </w:rPr>
      </w:pPr>
    </w:p>
    <w:p w14:paraId="71C96722" w14:textId="34A92AD1" w:rsidR="00F85232" w:rsidRDefault="00A1765E" w:rsidP="00D77F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was copied to both third and fourth respondents. Neither reacted to the letter. </w:t>
      </w:r>
      <w:r w:rsidR="00640A0E">
        <w:rPr>
          <w:rFonts w:ascii="Times New Roman" w:hAnsi="Times New Roman" w:cs="Times New Roman"/>
          <w:sz w:val="24"/>
          <w:szCs w:val="24"/>
        </w:rPr>
        <w:t>The applicant approached its legal practitioners, who on 17 February 2022</w:t>
      </w:r>
      <w:r w:rsidR="00F85232">
        <w:rPr>
          <w:rFonts w:ascii="Times New Roman" w:hAnsi="Times New Roman" w:cs="Times New Roman"/>
          <w:sz w:val="24"/>
          <w:szCs w:val="24"/>
        </w:rPr>
        <w:t xml:space="preserve"> wrote to the third respondent reiterating the applicant’s position on the matter. The material part of the letter reads as follows:</w:t>
      </w:r>
    </w:p>
    <w:p w14:paraId="4806ADC3" w14:textId="77777777" w:rsidR="00F85232" w:rsidRPr="00F85232" w:rsidRDefault="00F85232" w:rsidP="00F85232">
      <w:pPr>
        <w:spacing w:after="0" w:line="240" w:lineRule="auto"/>
        <w:ind w:left="720"/>
        <w:jc w:val="both"/>
        <w:rPr>
          <w:rFonts w:ascii="Times New Roman" w:hAnsi="Times New Roman" w:cs="Times New Roman"/>
        </w:rPr>
      </w:pPr>
      <w:r w:rsidRPr="00F85232">
        <w:rPr>
          <w:rFonts w:ascii="Times New Roman" w:hAnsi="Times New Roman" w:cs="Times New Roman"/>
        </w:rPr>
        <w:t>“RE: NEC FOOD MILLING SUBSECTOR-EMPLOYER PARTIES SHARING OF SEATS</w:t>
      </w:r>
    </w:p>
    <w:p w14:paraId="58A4E55A" w14:textId="62C86FD6" w:rsidR="00E71455" w:rsidRPr="00F85232" w:rsidRDefault="00F85232" w:rsidP="00F85232">
      <w:pPr>
        <w:spacing w:after="0" w:line="240" w:lineRule="auto"/>
        <w:ind w:left="720"/>
        <w:jc w:val="both"/>
        <w:rPr>
          <w:rFonts w:ascii="Times New Roman" w:hAnsi="Times New Roman" w:cs="Times New Roman"/>
        </w:rPr>
      </w:pPr>
      <w:r w:rsidRPr="00F85232">
        <w:rPr>
          <w:rFonts w:ascii="Times New Roman" w:hAnsi="Times New Roman" w:cs="Times New Roman"/>
        </w:rPr>
        <w:t xml:space="preserve"> ………………………</w:t>
      </w:r>
    </w:p>
    <w:p w14:paraId="3E774C85" w14:textId="54C7ADF6" w:rsidR="00F85232" w:rsidRDefault="00F85232" w:rsidP="00F85232">
      <w:pPr>
        <w:spacing w:after="0" w:line="240" w:lineRule="auto"/>
        <w:ind w:left="720"/>
        <w:jc w:val="both"/>
        <w:rPr>
          <w:rFonts w:ascii="Times New Roman" w:hAnsi="Times New Roman" w:cs="Times New Roman"/>
        </w:rPr>
      </w:pPr>
      <w:r w:rsidRPr="00F85232">
        <w:rPr>
          <w:rFonts w:ascii="Times New Roman" w:hAnsi="Times New Roman" w:cs="Times New Roman"/>
        </w:rPr>
        <w:t>Pursuant to the meeting that was held on the 7</w:t>
      </w:r>
      <w:r w:rsidRPr="00F85232">
        <w:rPr>
          <w:rFonts w:ascii="Times New Roman" w:hAnsi="Times New Roman" w:cs="Times New Roman"/>
          <w:vertAlign w:val="superscript"/>
        </w:rPr>
        <w:t>th</w:t>
      </w:r>
      <w:r w:rsidRPr="00F85232">
        <w:rPr>
          <w:rFonts w:ascii="Times New Roman" w:hAnsi="Times New Roman" w:cs="Times New Roman"/>
        </w:rPr>
        <w:t xml:space="preserve"> of February 2022, at the NEC offices for sharing of seats between the employer parties in the milling sub-sector in terms of which the meeting was adjourned because the Small to Medium Millers Association of Zimbabwe SMMAZ challenged the presence of our client in the meeting. The challenge was based on the allegation that ours did not exist and was not entitled to be in the said meeting because they had specifically requested to meet with GMAZ. </w:t>
      </w:r>
      <w:r w:rsidR="003649C1">
        <w:rPr>
          <w:rFonts w:ascii="Times New Roman" w:hAnsi="Times New Roman" w:cs="Times New Roman"/>
        </w:rPr>
        <w:t>We wish to expressly state that we stand as directed by the Chairman that he did not have any authority to adjudicate on the legality of the existence of GMEAZ and therefore directed any aggrieved parties to follow the legal channels to have the issues determined.</w:t>
      </w:r>
    </w:p>
    <w:p w14:paraId="73CE84C0" w14:textId="77777777" w:rsidR="003649C1" w:rsidRDefault="003649C1" w:rsidP="00F85232">
      <w:pPr>
        <w:spacing w:after="0" w:line="240" w:lineRule="auto"/>
        <w:ind w:left="720"/>
        <w:jc w:val="both"/>
        <w:rPr>
          <w:rFonts w:ascii="Times New Roman" w:hAnsi="Times New Roman" w:cs="Times New Roman"/>
        </w:rPr>
      </w:pPr>
    </w:p>
    <w:p w14:paraId="0B69AC15" w14:textId="6876BEC6" w:rsidR="003649C1" w:rsidRDefault="003649C1" w:rsidP="00F85232">
      <w:pPr>
        <w:spacing w:after="0" w:line="240" w:lineRule="auto"/>
        <w:ind w:left="720"/>
        <w:jc w:val="both"/>
        <w:rPr>
          <w:rFonts w:ascii="Times New Roman" w:hAnsi="Times New Roman" w:cs="Times New Roman"/>
        </w:rPr>
      </w:pPr>
      <w:r>
        <w:rPr>
          <w:rFonts w:ascii="Times New Roman" w:hAnsi="Times New Roman" w:cs="Times New Roman"/>
        </w:rPr>
        <w:t xml:space="preserve">Despite the clear directive by the Chairman, SMMAZ proceeded to meet with U.F.A.W.U.Z and misled the union that it was representing the </w:t>
      </w:r>
      <w:r w:rsidR="00FB5F80">
        <w:rPr>
          <w:rFonts w:ascii="Times New Roman" w:hAnsi="Times New Roman" w:cs="Times New Roman"/>
        </w:rPr>
        <w:t>employers’</w:t>
      </w:r>
      <w:r>
        <w:rPr>
          <w:rFonts w:ascii="Times New Roman" w:hAnsi="Times New Roman" w:cs="Times New Roman"/>
        </w:rPr>
        <w:t xml:space="preserve"> organization and misrepresented that it had taken up all seat in the subsector for the employer party. This is evident from the letter to the NEC by the Trade Union dated 8 February (See annexure A) in terms of which paragraph 3 stated that the employer party had been properly constituted. Seat where not shared at the meeting for sharing of seats so one fails to understand how the trade union asserts that the employer organization was properly constituted. </w:t>
      </w:r>
    </w:p>
    <w:p w14:paraId="0E017B85" w14:textId="77777777" w:rsidR="003649C1" w:rsidRDefault="003649C1" w:rsidP="00F85232">
      <w:pPr>
        <w:spacing w:after="0" w:line="240" w:lineRule="auto"/>
        <w:ind w:left="720"/>
        <w:jc w:val="both"/>
        <w:rPr>
          <w:rFonts w:ascii="Times New Roman" w:hAnsi="Times New Roman" w:cs="Times New Roman"/>
        </w:rPr>
      </w:pPr>
    </w:p>
    <w:p w14:paraId="2BCA1790" w14:textId="66B1ADC2" w:rsidR="003649C1" w:rsidRDefault="003649C1" w:rsidP="00F85232">
      <w:pPr>
        <w:spacing w:after="0" w:line="240" w:lineRule="auto"/>
        <w:ind w:left="720"/>
        <w:jc w:val="both"/>
        <w:rPr>
          <w:rFonts w:ascii="Times New Roman" w:hAnsi="Times New Roman" w:cs="Times New Roman"/>
        </w:rPr>
      </w:pPr>
      <w:r>
        <w:rPr>
          <w:rFonts w:ascii="Times New Roman" w:hAnsi="Times New Roman" w:cs="Times New Roman"/>
        </w:rPr>
        <w:t xml:space="preserve">This is definitely not a true record of what transpired because parties did not share any seat after the same SMMAZ sought an </w:t>
      </w:r>
      <w:r w:rsidR="00D02C25">
        <w:rPr>
          <w:rFonts w:ascii="Times New Roman" w:hAnsi="Times New Roman" w:cs="Times New Roman"/>
        </w:rPr>
        <w:t>adjournment</w:t>
      </w:r>
      <w:r>
        <w:rPr>
          <w:rFonts w:ascii="Times New Roman" w:hAnsi="Times New Roman" w:cs="Times New Roman"/>
        </w:rPr>
        <w:t xml:space="preserve"> of the meeting. SMMAZ cannot legally take up all seats because it represents only 1 employer, the other company it purported to represent denies </w:t>
      </w:r>
      <w:r w:rsidR="00A83C75">
        <w:rPr>
          <w:rFonts w:ascii="Times New Roman" w:hAnsi="Times New Roman" w:cs="Times New Roman"/>
        </w:rPr>
        <w:t xml:space="preserve">being it member and we have confirmation to that effect. On what basis and on whose mandate does it purport to represent employers. The provisions of the NEC Food and Allied Industries Constitution </w:t>
      </w:r>
      <w:r w:rsidR="00D02C25">
        <w:rPr>
          <w:rFonts w:ascii="Times New Roman" w:hAnsi="Times New Roman" w:cs="Times New Roman"/>
        </w:rPr>
        <w:t>Amendment</w:t>
      </w:r>
      <w:r w:rsidR="00A83C75">
        <w:rPr>
          <w:rFonts w:ascii="Times New Roman" w:hAnsi="Times New Roman" w:cs="Times New Roman"/>
        </w:rPr>
        <w:t xml:space="preserve"> No 1 is clear. Clause 5.3 is clear regarding sharing of seats and states that same is done on verifiable employership for each registered employer organization party.</w:t>
      </w:r>
    </w:p>
    <w:p w14:paraId="7DF86791" w14:textId="77777777" w:rsidR="00A83C75" w:rsidRDefault="00A83C75" w:rsidP="00F85232">
      <w:pPr>
        <w:spacing w:after="0" w:line="240" w:lineRule="auto"/>
        <w:ind w:left="720"/>
        <w:jc w:val="both"/>
        <w:rPr>
          <w:rFonts w:ascii="Times New Roman" w:hAnsi="Times New Roman" w:cs="Times New Roman"/>
        </w:rPr>
      </w:pPr>
    </w:p>
    <w:p w14:paraId="4159D30F" w14:textId="6B8085FE" w:rsidR="00A83C75" w:rsidRDefault="00A83C75" w:rsidP="00F85232">
      <w:pPr>
        <w:spacing w:after="0" w:line="240" w:lineRule="auto"/>
        <w:ind w:left="720"/>
        <w:jc w:val="both"/>
        <w:rPr>
          <w:rFonts w:ascii="Times New Roman" w:hAnsi="Times New Roman" w:cs="Times New Roman"/>
        </w:rPr>
      </w:pPr>
      <w:r>
        <w:rPr>
          <w:rFonts w:ascii="Times New Roman" w:hAnsi="Times New Roman" w:cs="Times New Roman"/>
        </w:rPr>
        <w:t>Our client is a registered employer organization and on what basis is SMMAZ allowed to meet with the trade Union and state that it occupies all seats in clear disregard of our client which has 56 members in the Northern Region and 43 members in the Southern Region……………………………</w:t>
      </w:r>
    </w:p>
    <w:p w14:paraId="3CA1503F" w14:textId="77777777" w:rsidR="00A83C75" w:rsidRDefault="00A83C75" w:rsidP="00F85232">
      <w:pPr>
        <w:spacing w:after="0" w:line="240" w:lineRule="auto"/>
        <w:ind w:left="720"/>
        <w:jc w:val="both"/>
        <w:rPr>
          <w:rFonts w:ascii="Times New Roman" w:hAnsi="Times New Roman" w:cs="Times New Roman"/>
        </w:rPr>
      </w:pPr>
    </w:p>
    <w:p w14:paraId="13904BBE" w14:textId="2F6B13F9" w:rsidR="00A83C75" w:rsidRDefault="00A83C75" w:rsidP="00F85232">
      <w:pPr>
        <w:spacing w:after="0" w:line="240" w:lineRule="auto"/>
        <w:ind w:left="720"/>
        <w:jc w:val="both"/>
        <w:rPr>
          <w:rFonts w:ascii="Times New Roman" w:hAnsi="Times New Roman" w:cs="Times New Roman"/>
        </w:rPr>
      </w:pPr>
      <w:r>
        <w:rPr>
          <w:rFonts w:ascii="Times New Roman" w:hAnsi="Times New Roman" w:cs="Times New Roman"/>
        </w:rPr>
        <w:t xml:space="preserve">We want to clearly state it and have it on record that any meetings and negotiations done by SMMAZ with unions in the absence of our client are illegal and therefore void. Any outcomes </w:t>
      </w:r>
      <w:r>
        <w:rPr>
          <w:rFonts w:ascii="Times New Roman" w:hAnsi="Times New Roman" w:cs="Times New Roman"/>
        </w:rPr>
        <w:lastRenderedPageBreak/>
        <w:t>thereof will not bind our clients’ members as SMMAZ does not have mandate to represent our clients’ members. Our client is legally registered and the allegation that it is</w:t>
      </w:r>
      <w:r w:rsidR="00FB5F80">
        <w:rPr>
          <w:rFonts w:ascii="Times New Roman" w:hAnsi="Times New Roman" w:cs="Times New Roman"/>
        </w:rPr>
        <w:t xml:space="preserve"> defunct is yet to be confirmed </w:t>
      </w:r>
      <w:r>
        <w:rPr>
          <w:rFonts w:ascii="Times New Roman" w:hAnsi="Times New Roman" w:cs="Times New Roman"/>
        </w:rPr>
        <w:t>by a competent court o</w:t>
      </w:r>
      <w:r w:rsidR="00FB5F80">
        <w:rPr>
          <w:rFonts w:ascii="Times New Roman" w:hAnsi="Times New Roman" w:cs="Times New Roman"/>
        </w:rPr>
        <w:t>f all. …………………………………………………</w:t>
      </w:r>
    </w:p>
    <w:p w14:paraId="77054CA9" w14:textId="77777777" w:rsidR="00A83C75" w:rsidRDefault="00A83C75" w:rsidP="00F85232">
      <w:pPr>
        <w:spacing w:after="0" w:line="240" w:lineRule="auto"/>
        <w:ind w:left="720"/>
        <w:jc w:val="both"/>
        <w:rPr>
          <w:rFonts w:ascii="Times New Roman" w:hAnsi="Times New Roman" w:cs="Times New Roman"/>
        </w:rPr>
      </w:pPr>
    </w:p>
    <w:p w14:paraId="36FA45AD" w14:textId="24767AE5" w:rsidR="00A83C75" w:rsidRPr="00F85232" w:rsidRDefault="00A83C75" w:rsidP="00F85232">
      <w:pPr>
        <w:spacing w:after="0" w:line="240" w:lineRule="auto"/>
        <w:ind w:left="720"/>
        <w:jc w:val="both"/>
        <w:rPr>
          <w:rFonts w:ascii="Times New Roman" w:hAnsi="Times New Roman" w:cs="Times New Roman"/>
        </w:rPr>
      </w:pPr>
      <w:r>
        <w:rPr>
          <w:rFonts w:ascii="Times New Roman" w:hAnsi="Times New Roman" w:cs="Times New Roman"/>
        </w:rPr>
        <w:t xml:space="preserve">We call upon your competent office to call SMMAZ to order and to put the record straight especially with the Unions because it is misrepresenting the outcome of the meeting which you chaired. SMMAZ should forthwith stop misrepresenting </w:t>
      </w:r>
      <w:r w:rsidR="00A1765E">
        <w:rPr>
          <w:rFonts w:ascii="Times New Roman" w:hAnsi="Times New Roman" w:cs="Times New Roman"/>
        </w:rPr>
        <w:t>to the Unions as its behaviour is criminal and illegal, the trade unions should be directed by the NEC as it is the regulating body over all parties. If the behaviour and illegal action does not stop, we want to have it on record that our client will approach the court for relief against the rogue elements that continue on the illegalities………”</w:t>
      </w:r>
      <w:r w:rsidR="00A419B4">
        <w:rPr>
          <w:rFonts w:ascii="Times New Roman" w:hAnsi="Times New Roman" w:cs="Times New Roman"/>
        </w:rPr>
        <w:t xml:space="preserve"> </w:t>
      </w:r>
    </w:p>
    <w:p w14:paraId="0626FFF1" w14:textId="77777777" w:rsidR="00E71455" w:rsidRPr="00E71455" w:rsidRDefault="00E71455" w:rsidP="00E71455">
      <w:pPr>
        <w:spacing w:after="0" w:line="240" w:lineRule="auto"/>
        <w:ind w:left="720"/>
        <w:jc w:val="both"/>
        <w:rPr>
          <w:rFonts w:ascii="Times New Roman" w:hAnsi="Times New Roman" w:cs="Times New Roman"/>
        </w:rPr>
      </w:pPr>
    </w:p>
    <w:p w14:paraId="12C75FD5" w14:textId="160B09C7" w:rsidR="00881C76" w:rsidRDefault="00A1765E" w:rsidP="00D02C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was copied to GMAZ, first and fourth respondents and UFAWUZ. The applicant claims that none of the parties responded to the letter, and it assumed the parties were content with the position as expressed in the aforementioned letter. The applicant asserts that it also took </w:t>
      </w:r>
      <w:r w:rsidR="00881C76">
        <w:rPr>
          <w:rFonts w:ascii="Times New Roman" w:hAnsi="Times New Roman" w:cs="Times New Roman"/>
          <w:sz w:val="24"/>
          <w:szCs w:val="24"/>
        </w:rPr>
        <w:t>comfort</w:t>
      </w:r>
      <w:r>
        <w:rPr>
          <w:rFonts w:ascii="Times New Roman" w:hAnsi="Times New Roman" w:cs="Times New Roman"/>
          <w:sz w:val="24"/>
          <w:szCs w:val="24"/>
        </w:rPr>
        <w:t xml:space="preserve"> in </w:t>
      </w:r>
      <w:r w:rsidR="00881C76">
        <w:rPr>
          <w:rFonts w:ascii="Times New Roman" w:hAnsi="Times New Roman" w:cs="Times New Roman"/>
          <w:sz w:val="24"/>
          <w:szCs w:val="24"/>
        </w:rPr>
        <w:t>the belief that the parties concerns were being attended to by the fourth respondent. It therefore came as shock when the applicant received a memorandum from the third respondent addressed directly to the applicant’s members, the NEC chairperson, the fourth respondent and the UFAWUZ. The memorandum which was inadvertently dated 24 March 202</w:t>
      </w:r>
      <w:r w:rsidR="00D02C25">
        <w:rPr>
          <w:rFonts w:ascii="Times New Roman" w:hAnsi="Times New Roman" w:cs="Times New Roman"/>
          <w:sz w:val="24"/>
          <w:szCs w:val="24"/>
        </w:rPr>
        <w:t>4</w:t>
      </w:r>
      <w:r w:rsidR="00881C76">
        <w:rPr>
          <w:rFonts w:ascii="Times New Roman" w:hAnsi="Times New Roman" w:cs="Times New Roman"/>
          <w:sz w:val="24"/>
          <w:szCs w:val="24"/>
        </w:rPr>
        <w:t>, reads as follows:</w:t>
      </w:r>
    </w:p>
    <w:p w14:paraId="53F89365" w14:textId="77777777" w:rsidR="00881C76" w:rsidRPr="00881C76" w:rsidRDefault="00881C76" w:rsidP="00881C76">
      <w:pPr>
        <w:spacing w:after="0" w:line="240" w:lineRule="auto"/>
        <w:ind w:firstLine="720"/>
        <w:jc w:val="both"/>
        <w:rPr>
          <w:rFonts w:ascii="Times New Roman" w:hAnsi="Times New Roman" w:cs="Times New Roman"/>
          <w:b/>
          <w:u w:val="single"/>
        </w:rPr>
      </w:pPr>
      <w:r w:rsidRPr="00881C76">
        <w:rPr>
          <w:rFonts w:ascii="Times New Roman" w:hAnsi="Times New Roman" w:cs="Times New Roman"/>
          <w:b/>
          <w:u w:val="single"/>
        </w:rPr>
        <w:t>“REF: MILLING INDUSTRY COLLECTIVE BARGAINING AGREEMENT</w:t>
      </w:r>
    </w:p>
    <w:p w14:paraId="4F6A7BB1" w14:textId="050B37FD" w:rsidR="00881C76" w:rsidRDefault="00881C76" w:rsidP="00881C76">
      <w:pPr>
        <w:spacing w:after="0" w:line="240" w:lineRule="auto"/>
        <w:ind w:left="720"/>
        <w:jc w:val="both"/>
        <w:rPr>
          <w:rFonts w:ascii="Times New Roman" w:hAnsi="Times New Roman" w:cs="Times New Roman"/>
        </w:rPr>
      </w:pPr>
      <w:r>
        <w:rPr>
          <w:rFonts w:ascii="Times New Roman" w:hAnsi="Times New Roman" w:cs="Times New Roman"/>
        </w:rPr>
        <w:t xml:space="preserve">I am glad to announce that the Collective Bargaining Agreement for the Milling Industry sub-sector undertaking for the period January 2022 to March 2022 has been concluded as per the copy attached. The agreement has since been sent to the Registrar for gazetting. </w:t>
      </w:r>
    </w:p>
    <w:p w14:paraId="43180A58" w14:textId="2ED32BAA" w:rsidR="00881C76" w:rsidRDefault="00881C76" w:rsidP="00881C76">
      <w:pPr>
        <w:spacing w:after="0" w:line="240" w:lineRule="auto"/>
        <w:ind w:firstLine="720"/>
        <w:jc w:val="both"/>
        <w:rPr>
          <w:rFonts w:ascii="Times New Roman" w:hAnsi="Times New Roman" w:cs="Times New Roman"/>
        </w:rPr>
      </w:pPr>
      <w:r>
        <w:rPr>
          <w:rFonts w:ascii="Times New Roman" w:hAnsi="Times New Roman" w:cs="Times New Roman"/>
        </w:rPr>
        <w:t>………..”</w:t>
      </w:r>
    </w:p>
    <w:p w14:paraId="2B9B00D6" w14:textId="77777777" w:rsidR="00881C76" w:rsidRDefault="00881C76" w:rsidP="00881C76">
      <w:pPr>
        <w:spacing w:after="0" w:line="240" w:lineRule="auto"/>
        <w:jc w:val="both"/>
        <w:rPr>
          <w:rFonts w:ascii="Times New Roman" w:hAnsi="Times New Roman" w:cs="Times New Roman"/>
        </w:rPr>
      </w:pPr>
    </w:p>
    <w:p w14:paraId="1A6F85E2" w14:textId="3DEE47E3" w:rsidR="00881C76" w:rsidRPr="00D02C25" w:rsidRDefault="00881C76" w:rsidP="009012E7">
      <w:pPr>
        <w:spacing w:after="0" w:line="360" w:lineRule="auto"/>
        <w:jc w:val="both"/>
        <w:rPr>
          <w:rFonts w:ascii="Times New Roman" w:hAnsi="Times New Roman" w:cs="Times New Roman"/>
          <w:sz w:val="24"/>
          <w:szCs w:val="24"/>
        </w:rPr>
      </w:pPr>
      <w:r w:rsidRPr="00D02C25">
        <w:rPr>
          <w:rFonts w:ascii="Times New Roman" w:hAnsi="Times New Roman" w:cs="Times New Roman"/>
          <w:sz w:val="24"/>
          <w:szCs w:val="24"/>
        </w:rPr>
        <w:t xml:space="preserve">The attached CBA made reference to a meeting that was held on 22 March 2022, where the new </w:t>
      </w:r>
      <w:r w:rsidR="00D02C25">
        <w:rPr>
          <w:rFonts w:ascii="Times New Roman" w:hAnsi="Times New Roman" w:cs="Times New Roman"/>
          <w:sz w:val="24"/>
          <w:szCs w:val="24"/>
        </w:rPr>
        <w:t>s</w:t>
      </w:r>
      <w:r w:rsidR="009012E7" w:rsidRPr="00D02C25">
        <w:rPr>
          <w:rFonts w:ascii="Times New Roman" w:hAnsi="Times New Roman" w:cs="Times New Roman"/>
          <w:sz w:val="24"/>
          <w:szCs w:val="24"/>
        </w:rPr>
        <w:t xml:space="preserve">tructure for wages and allowances was </w:t>
      </w:r>
      <w:r w:rsidR="00D02C25">
        <w:rPr>
          <w:rFonts w:ascii="Times New Roman" w:hAnsi="Times New Roman" w:cs="Times New Roman"/>
          <w:sz w:val="24"/>
          <w:szCs w:val="24"/>
        </w:rPr>
        <w:t xml:space="preserve">agreed upon. That memorandum </w:t>
      </w:r>
      <w:r w:rsidR="009012E7" w:rsidRPr="00D02C25">
        <w:rPr>
          <w:rFonts w:ascii="Times New Roman" w:hAnsi="Times New Roman" w:cs="Times New Roman"/>
          <w:sz w:val="24"/>
          <w:szCs w:val="24"/>
        </w:rPr>
        <w:t>drew the ire of the applicant. The applicant reacted by writing to both third and fourth respondents querying the circumstance</w:t>
      </w:r>
      <w:r w:rsidR="00D02C25">
        <w:rPr>
          <w:rFonts w:ascii="Times New Roman" w:hAnsi="Times New Roman" w:cs="Times New Roman"/>
          <w:sz w:val="24"/>
          <w:szCs w:val="24"/>
        </w:rPr>
        <w:t>s under which the agreement</w:t>
      </w:r>
      <w:r w:rsidR="009012E7" w:rsidRPr="00D02C25">
        <w:rPr>
          <w:rFonts w:ascii="Times New Roman" w:hAnsi="Times New Roman" w:cs="Times New Roman"/>
          <w:sz w:val="24"/>
          <w:szCs w:val="24"/>
        </w:rPr>
        <w:t xml:space="preserve"> was reached in the absence of the applicant who represented the majority of the employers in the sector. It is tha</w:t>
      </w:r>
      <w:r w:rsidR="00D02C25">
        <w:rPr>
          <w:rFonts w:ascii="Times New Roman" w:hAnsi="Times New Roman" w:cs="Times New Roman"/>
          <w:sz w:val="24"/>
          <w:szCs w:val="24"/>
        </w:rPr>
        <w:t>t communication that triggered an</w:t>
      </w:r>
      <w:r w:rsidR="009012E7" w:rsidRPr="00D02C25">
        <w:rPr>
          <w:rFonts w:ascii="Times New Roman" w:hAnsi="Times New Roman" w:cs="Times New Roman"/>
          <w:sz w:val="24"/>
          <w:szCs w:val="24"/>
        </w:rPr>
        <w:t xml:space="preserve"> approach to this court on an urgent basis for the interim relief sought herein. </w:t>
      </w:r>
    </w:p>
    <w:p w14:paraId="0CEFF152" w14:textId="379E3885" w:rsidR="009012E7" w:rsidRPr="00D02C25" w:rsidRDefault="009012E7" w:rsidP="009012E7">
      <w:pPr>
        <w:spacing w:after="0" w:line="360" w:lineRule="auto"/>
        <w:jc w:val="both"/>
        <w:rPr>
          <w:rFonts w:ascii="Times New Roman" w:hAnsi="Times New Roman" w:cs="Times New Roman"/>
          <w:b/>
          <w:i/>
          <w:sz w:val="24"/>
          <w:szCs w:val="24"/>
        </w:rPr>
      </w:pPr>
      <w:r w:rsidRPr="00D02C25">
        <w:rPr>
          <w:rFonts w:ascii="Times New Roman" w:hAnsi="Times New Roman" w:cs="Times New Roman"/>
          <w:b/>
          <w:i/>
          <w:sz w:val="24"/>
          <w:szCs w:val="24"/>
        </w:rPr>
        <w:t>First Respondent</w:t>
      </w:r>
      <w:r w:rsidR="00091B39" w:rsidRPr="00D02C25">
        <w:rPr>
          <w:rFonts w:ascii="Times New Roman" w:hAnsi="Times New Roman" w:cs="Times New Roman"/>
          <w:b/>
          <w:i/>
          <w:sz w:val="24"/>
          <w:szCs w:val="24"/>
        </w:rPr>
        <w:t>’</w:t>
      </w:r>
      <w:r w:rsidR="00410782" w:rsidRPr="00D02C25">
        <w:rPr>
          <w:rFonts w:ascii="Times New Roman" w:hAnsi="Times New Roman" w:cs="Times New Roman"/>
          <w:b/>
          <w:i/>
          <w:sz w:val="24"/>
          <w:szCs w:val="24"/>
        </w:rPr>
        <w:t xml:space="preserve">s </w:t>
      </w:r>
      <w:r w:rsidRPr="00D02C25">
        <w:rPr>
          <w:rFonts w:ascii="Times New Roman" w:hAnsi="Times New Roman" w:cs="Times New Roman"/>
          <w:b/>
          <w:i/>
          <w:sz w:val="24"/>
          <w:szCs w:val="24"/>
        </w:rPr>
        <w:t>Opposition</w:t>
      </w:r>
    </w:p>
    <w:p w14:paraId="5E3309BF" w14:textId="15E2FD0C" w:rsidR="006B09CD" w:rsidRPr="00D02C25" w:rsidRDefault="009012E7" w:rsidP="009012E7">
      <w:pPr>
        <w:spacing w:after="0" w:line="360" w:lineRule="auto"/>
        <w:jc w:val="both"/>
        <w:rPr>
          <w:rFonts w:ascii="Times New Roman" w:hAnsi="Times New Roman" w:cs="Times New Roman"/>
          <w:sz w:val="24"/>
          <w:szCs w:val="24"/>
        </w:rPr>
      </w:pPr>
      <w:r w:rsidRPr="00D02C25">
        <w:rPr>
          <w:rFonts w:ascii="Times New Roman" w:hAnsi="Times New Roman" w:cs="Times New Roman"/>
          <w:sz w:val="24"/>
          <w:szCs w:val="24"/>
        </w:rPr>
        <w:tab/>
      </w:r>
      <w:r w:rsidR="004D4B2A" w:rsidRPr="00D02C25">
        <w:rPr>
          <w:rFonts w:ascii="Times New Roman" w:hAnsi="Times New Roman" w:cs="Times New Roman"/>
          <w:sz w:val="24"/>
          <w:szCs w:val="24"/>
        </w:rPr>
        <w:t xml:space="preserve">The first respondent’s opposing affidavit was deposed to by one Alois Sengwe in his capacity as National Administrator of first respondent. </w:t>
      </w:r>
      <w:r w:rsidR="006B09CD" w:rsidRPr="00D02C25">
        <w:rPr>
          <w:rFonts w:ascii="Times New Roman" w:hAnsi="Times New Roman" w:cs="Times New Roman"/>
          <w:sz w:val="24"/>
          <w:szCs w:val="24"/>
        </w:rPr>
        <w:t xml:space="preserve">He raised the </w:t>
      </w:r>
      <w:r w:rsidR="004D4B2A" w:rsidRPr="00D02C25">
        <w:rPr>
          <w:rFonts w:ascii="Times New Roman" w:hAnsi="Times New Roman" w:cs="Times New Roman"/>
          <w:sz w:val="24"/>
          <w:szCs w:val="24"/>
        </w:rPr>
        <w:t xml:space="preserve">following in </w:t>
      </w:r>
      <w:r w:rsidR="004D4B2A" w:rsidRPr="00D02C25">
        <w:rPr>
          <w:rFonts w:ascii="Times New Roman" w:hAnsi="Times New Roman" w:cs="Times New Roman"/>
          <w:i/>
          <w:sz w:val="24"/>
          <w:szCs w:val="24"/>
        </w:rPr>
        <w:t>limine</w:t>
      </w:r>
      <w:r w:rsidR="004D4B2A" w:rsidRPr="00D02C25">
        <w:rPr>
          <w:rFonts w:ascii="Times New Roman" w:hAnsi="Times New Roman" w:cs="Times New Roman"/>
          <w:sz w:val="24"/>
          <w:szCs w:val="24"/>
        </w:rPr>
        <w:t xml:space="preserve">: </w:t>
      </w:r>
      <w:r w:rsidR="006B09CD" w:rsidRPr="00D02C25">
        <w:rPr>
          <w:rFonts w:ascii="Times New Roman" w:hAnsi="Times New Roman" w:cs="Times New Roman"/>
          <w:sz w:val="24"/>
          <w:szCs w:val="24"/>
        </w:rPr>
        <w:t xml:space="preserve">absence of jurisdiction; that a lawful process cannot be interdicted; failure to exhaust domestic remedies and lack of urgency. I will </w:t>
      </w:r>
      <w:r w:rsidR="00D02C25">
        <w:rPr>
          <w:rFonts w:ascii="Times New Roman" w:hAnsi="Times New Roman" w:cs="Times New Roman"/>
          <w:sz w:val="24"/>
          <w:szCs w:val="24"/>
        </w:rPr>
        <w:t xml:space="preserve">deal with </w:t>
      </w:r>
      <w:r w:rsidR="006B09CD" w:rsidRPr="00D02C25">
        <w:rPr>
          <w:rFonts w:ascii="Times New Roman" w:hAnsi="Times New Roman" w:cs="Times New Roman"/>
          <w:sz w:val="24"/>
          <w:szCs w:val="24"/>
        </w:rPr>
        <w:t>these latter in the judgment.</w:t>
      </w:r>
    </w:p>
    <w:p w14:paraId="312EF946" w14:textId="11B625B8" w:rsidR="009012E7" w:rsidRPr="00465D4A" w:rsidRDefault="006B09CD" w:rsidP="009012E7">
      <w:pPr>
        <w:spacing w:after="0" w:line="360" w:lineRule="auto"/>
        <w:jc w:val="both"/>
        <w:rPr>
          <w:rFonts w:ascii="Times New Roman" w:hAnsi="Times New Roman" w:cs="Times New Roman"/>
          <w:sz w:val="24"/>
          <w:szCs w:val="24"/>
        </w:rPr>
      </w:pPr>
      <w:r w:rsidRPr="00D02C25">
        <w:rPr>
          <w:rFonts w:ascii="Times New Roman" w:hAnsi="Times New Roman" w:cs="Times New Roman"/>
          <w:sz w:val="24"/>
          <w:szCs w:val="24"/>
        </w:rPr>
        <w:tab/>
        <w:t xml:space="preserve">As regards the merits, </w:t>
      </w:r>
      <w:r w:rsidR="00B66A00" w:rsidRPr="00D02C25">
        <w:rPr>
          <w:rFonts w:ascii="Times New Roman" w:hAnsi="Times New Roman" w:cs="Times New Roman"/>
          <w:sz w:val="24"/>
          <w:szCs w:val="24"/>
        </w:rPr>
        <w:t xml:space="preserve">it was averred that the applicant had not laid out a case for the relief it sought. It had failed to plead the four requirements of an interdict </w:t>
      </w:r>
      <w:r w:rsidR="00B66A00" w:rsidRPr="00465D4A">
        <w:rPr>
          <w:rFonts w:ascii="Times New Roman" w:hAnsi="Times New Roman" w:cs="Times New Roman"/>
          <w:sz w:val="24"/>
          <w:szCs w:val="24"/>
        </w:rPr>
        <w:t xml:space="preserve">as required by the law. In any case, the applicant </w:t>
      </w:r>
      <w:r w:rsidRPr="00465D4A">
        <w:rPr>
          <w:rFonts w:ascii="Times New Roman" w:hAnsi="Times New Roman" w:cs="Times New Roman"/>
          <w:sz w:val="24"/>
          <w:szCs w:val="24"/>
        </w:rPr>
        <w:t xml:space="preserve">had no cause before the court as it had not operated as an employers’ association for the past six years. </w:t>
      </w:r>
      <w:r w:rsidR="00862D89" w:rsidRPr="00465D4A">
        <w:rPr>
          <w:rFonts w:ascii="Times New Roman" w:hAnsi="Times New Roman" w:cs="Times New Roman"/>
          <w:sz w:val="24"/>
          <w:szCs w:val="24"/>
        </w:rPr>
        <w:t xml:space="preserve">The applicant had not participated in any CBA for a couple of years now. The applicant was now defunct and the objections that had been made concerning its status were valid. </w:t>
      </w:r>
      <w:r w:rsidRPr="00465D4A">
        <w:rPr>
          <w:rFonts w:ascii="Times New Roman" w:hAnsi="Times New Roman" w:cs="Times New Roman"/>
          <w:sz w:val="24"/>
          <w:szCs w:val="24"/>
        </w:rPr>
        <w:t xml:space="preserve">The officials behind the applicant were the same people behind the GMAZ. It was the entity that used to participate in the affairs of the third respondent, albeit as an unregistered association. </w:t>
      </w:r>
    </w:p>
    <w:p w14:paraId="13D1C183" w14:textId="75A4F0DC" w:rsidR="00862D89" w:rsidRPr="00465D4A" w:rsidRDefault="00862D89" w:rsidP="009012E7">
      <w:pPr>
        <w:spacing w:after="0" w:line="360" w:lineRule="auto"/>
        <w:jc w:val="both"/>
        <w:rPr>
          <w:rFonts w:ascii="Times New Roman" w:hAnsi="Times New Roman" w:cs="Times New Roman"/>
          <w:sz w:val="24"/>
          <w:szCs w:val="24"/>
        </w:rPr>
      </w:pPr>
      <w:r w:rsidRPr="00465D4A">
        <w:rPr>
          <w:rFonts w:ascii="Times New Roman" w:hAnsi="Times New Roman" w:cs="Times New Roman"/>
          <w:sz w:val="24"/>
          <w:szCs w:val="24"/>
        </w:rPr>
        <w:tab/>
        <w:t xml:space="preserve">First respondent also contended that the </w:t>
      </w:r>
      <w:r w:rsidRPr="00465D4A">
        <w:rPr>
          <w:rFonts w:ascii="Times New Roman" w:hAnsi="Times New Roman" w:cs="Times New Roman"/>
          <w:i/>
          <w:sz w:val="24"/>
          <w:szCs w:val="24"/>
        </w:rPr>
        <w:t xml:space="preserve">declaraturs </w:t>
      </w:r>
      <w:r w:rsidRPr="00465D4A">
        <w:rPr>
          <w:rFonts w:ascii="Times New Roman" w:hAnsi="Times New Roman" w:cs="Times New Roman"/>
          <w:sz w:val="24"/>
          <w:szCs w:val="24"/>
        </w:rPr>
        <w:t xml:space="preserve">sought were meaningless, primarily because the CBA was protected by the principle of </w:t>
      </w:r>
      <w:r w:rsidR="00F718AB" w:rsidRPr="00465D4A">
        <w:rPr>
          <w:rFonts w:ascii="Times New Roman" w:hAnsi="Times New Roman" w:cs="Times New Roman"/>
          <w:sz w:val="24"/>
          <w:szCs w:val="24"/>
        </w:rPr>
        <w:t>private</w:t>
      </w:r>
      <w:r w:rsidRPr="00465D4A">
        <w:rPr>
          <w:rFonts w:ascii="Times New Roman" w:hAnsi="Times New Roman" w:cs="Times New Roman"/>
          <w:sz w:val="24"/>
          <w:szCs w:val="24"/>
        </w:rPr>
        <w:t xml:space="preserve"> of contract. </w:t>
      </w:r>
      <w:r w:rsidR="00091B39" w:rsidRPr="00465D4A">
        <w:rPr>
          <w:rFonts w:ascii="Times New Roman" w:hAnsi="Times New Roman" w:cs="Times New Roman"/>
          <w:sz w:val="24"/>
          <w:szCs w:val="24"/>
        </w:rPr>
        <w:t>The applicant could not seek to derive rights from an agreement that it was not party to. First respondent was registered in terms of the law, and as such it enjoyed the full protection of the law. Further, the court could not be invited to interfere with the statutory functions of the fourth respondent. No irreparable harm had been established by the applicant. The balance of convenience favoured non-interference by the court as the livelihoods of affected employees were at stake. The court was urged to dismiss the application with costs on the legal practitioner and client scale.</w:t>
      </w:r>
    </w:p>
    <w:p w14:paraId="3DCBB482" w14:textId="7CF51EEF" w:rsidR="00091B39" w:rsidRPr="00465D4A" w:rsidRDefault="00091B39" w:rsidP="009012E7">
      <w:pPr>
        <w:spacing w:after="0" w:line="360" w:lineRule="auto"/>
        <w:jc w:val="both"/>
        <w:rPr>
          <w:rFonts w:ascii="Times New Roman" w:hAnsi="Times New Roman" w:cs="Times New Roman"/>
          <w:sz w:val="24"/>
          <w:szCs w:val="24"/>
        </w:rPr>
      </w:pPr>
      <w:r w:rsidRPr="00465D4A">
        <w:rPr>
          <w:rFonts w:ascii="Times New Roman" w:hAnsi="Times New Roman" w:cs="Times New Roman"/>
          <w:b/>
          <w:i/>
          <w:sz w:val="24"/>
          <w:szCs w:val="24"/>
        </w:rPr>
        <w:t xml:space="preserve">Second Respondent’s Opposition </w:t>
      </w:r>
      <w:r w:rsidRPr="00465D4A">
        <w:rPr>
          <w:rFonts w:ascii="Times New Roman" w:hAnsi="Times New Roman" w:cs="Times New Roman"/>
          <w:sz w:val="24"/>
          <w:szCs w:val="24"/>
        </w:rPr>
        <w:tab/>
      </w:r>
    </w:p>
    <w:p w14:paraId="40299960" w14:textId="0693E32F" w:rsidR="00C63A2B" w:rsidRPr="00465D4A" w:rsidRDefault="00091B39" w:rsidP="009012E7">
      <w:pPr>
        <w:spacing w:after="0" w:line="360" w:lineRule="auto"/>
        <w:jc w:val="both"/>
        <w:rPr>
          <w:rFonts w:ascii="Times New Roman" w:hAnsi="Times New Roman" w:cs="Times New Roman"/>
          <w:sz w:val="24"/>
          <w:szCs w:val="24"/>
        </w:rPr>
      </w:pPr>
      <w:r w:rsidRPr="00465D4A">
        <w:rPr>
          <w:rFonts w:ascii="Times New Roman" w:hAnsi="Times New Roman" w:cs="Times New Roman"/>
          <w:sz w:val="24"/>
          <w:szCs w:val="24"/>
        </w:rPr>
        <w:tab/>
        <w:t>The opposing affidavit was deposed to by the General Secretary of the United Food and Allied Workers Union of Zimbabwe (UFAWUZ). It is a federation of Trade Unions to which the second respondent is affiliate</w:t>
      </w:r>
      <w:r w:rsidR="00465D4A">
        <w:rPr>
          <w:rFonts w:ascii="Times New Roman" w:hAnsi="Times New Roman" w:cs="Times New Roman"/>
          <w:sz w:val="24"/>
          <w:szCs w:val="24"/>
        </w:rPr>
        <w:t>d</w:t>
      </w:r>
      <w:r w:rsidRPr="00465D4A">
        <w:rPr>
          <w:rFonts w:ascii="Times New Roman" w:hAnsi="Times New Roman" w:cs="Times New Roman"/>
          <w:sz w:val="24"/>
          <w:szCs w:val="24"/>
        </w:rPr>
        <w:t xml:space="preserve">. </w:t>
      </w:r>
      <w:r w:rsidR="005C4A08" w:rsidRPr="00465D4A">
        <w:rPr>
          <w:rFonts w:ascii="Times New Roman" w:hAnsi="Times New Roman" w:cs="Times New Roman"/>
          <w:sz w:val="24"/>
          <w:szCs w:val="24"/>
        </w:rPr>
        <w:t xml:space="preserve">A resolution of the National Executive of UFAWUZ confirming such authority to depose to the affidavit was also attached. The opposing affidavit raised </w:t>
      </w:r>
      <w:r w:rsidR="00F45F60" w:rsidRPr="00465D4A">
        <w:rPr>
          <w:rFonts w:ascii="Times New Roman" w:hAnsi="Times New Roman" w:cs="Times New Roman"/>
          <w:sz w:val="24"/>
          <w:szCs w:val="24"/>
        </w:rPr>
        <w:t xml:space="preserve">similar preliminary points as those raised by the first respondent. </w:t>
      </w:r>
      <w:r w:rsidR="005A500E" w:rsidRPr="00465D4A">
        <w:rPr>
          <w:rFonts w:ascii="Times New Roman" w:hAnsi="Times New Roman" w:cs="Times New Roman"/>
          <w:sz w:val="24"/>
          <w:szCs w:val="24"/>
        </w:rPr>
        <w:t xml:space="preserve">As regards the merits, the second respondent associated itself with the responses made on behalf of the first respondent. </w:t>
      </w:r>
    </w:p>
    <w:p w14:paraId="2A87D7CF" w14:textId="492AD3DA" w:rsidR="006B09CD" w:rsidRPr="00465D4A" w:rsidRDefault="00C63A2B" w:rsidP="009012E7">
      <w:pPr>
        <w:spacing w:after="0" w:line="360" w:lineRule="auto"/>
        <w:jc w:val="both"/>
        <w:rPr>
          <w:rFonts w:ascii="Times New Roman" w:hAnsi="Times New Roman" w:cs="Times New Roman"/>
          <w:b/>
          <w:sz w:val="24"/>
          <w:szCs w:val="24"/>
        </w:rPr>
      </w:pPr>
      <w:r w:rsidRPr="00465D4A">
        <w:rPr>
          <w:rFonts w:ascii="Times New Roman" w:hAnsi="Times New Roman" w:cs="Times New Roman"/>
          <w:b/>
          <w:i/>
          <w:sz w:val="24"/>
          <w:szCs w:val="24"/>
        </w:rPr>
        <w:t xml:space="preserve">Third Respondent’s Opposition </w:t>
      </w:r>
      <w:r w:rsidR="00F45F60" w:rsidRPr="00465D4A">
        <w:rPr>
          <w:rFonts w:ascii="Times New Roman" w:hAnsi="Times New Roman" w:cs="Times New Roman"/>
          <w:b/>
          <w:sz w:val="24"/>
          <w:szCs w:val="24"/>
        </w:rPr>
        <w:t xml:space="preserve"> </w:t>
      </w:r>
    </w:p>
    <w:p w14:paraId="3595D384" w14:textId="77777777" w:rsidR="00715665" w:rsidRPr="00465D4A" w:rsidRDefault="00715665" w:rsidP="00715665">
      <w:pPr>
        <w:spacing w:after="0" w:line="360" w:lineRule="auto"/>
        <w:ind w:firstLine="720"/>
        <w:jc w:val="both"/>
        <w:rPr>
          <w:rFonts w:ascii="Times New Roman" w:hAnsi="Times New Roman" w:cs="Times New Roman"/>
          <w:sz w:val="24"/>
          <w:szCs w:val="24"/>
        </w:rPr>
      </w:pPr>
      <w:r w:rsidRPr="00465D4A">
        <w:rPr>
          <w:rFonts w:ascii="Times New Roman" w:hAnsi="Times New Roman" w:cs="Times New Roman"/>
          <w:sz w:val="24"/>
          <w:szCs w:val="24"/>
        </w:rPr>
        <w:t xml:space="preserve">The opposing affidavit raised two preliminary points at the outset. These are absence of jurisdiction and failure to exhaust domestic remedies. </w:t>
      </w:r>
    </w:p>
    <w:p w14:paraId="5A727D83" w14:textId="4C03B3B9" w:rsidR="00C85924" w:rsidRPr="00465D4A" w:rsidRDefault="00715665" w:rsidP="00715665">
      <w:pPr>
        <w:spacing w:after="0" w:line="360" w:lineRule="auto"/>
        <w:ind w:firstLine="720"/>
        <w:jc w:val="both"/>
        <w:rPr>
          <w:rFonts w:ascii="Times New Roman" w:hAnsi="Times New Roman" w:cs="Times New Roman"/>
          <w:sz w:val="24"/>
          <w:szCs w:val="24"/>
        </w:rPr>
      </w:pPr>
      <w:r w:rsidRPr="00465D4A">
        <w:rPr>
          <w:rFonts w:ascii="Times New Roman" w:hAnsi="Times New Roman" w:cs="Times New Roman"/>
          <w:sz w:val="24"/>
          <w:szCs w:val="24"/>
        </w:rPr>
        <w:t>As regards the merits, it was contended that the applicant was all but defunct as officials of GMAZ actively participated in the affairs of the applicant. It was further averred that although the third respondent had sought the fourth responden</w:t>
      </w:r>
      <w:r w:rsidR="002A7E07">
        <w:rPr>
          <w:rFonts w:ascii="Times New Roman" w:hAnsi="Times New Roman" w:cs="Times New Roman"/>
          <w:sz w:val="24"/>
          <w:szCs w:val="24"/>
        </w:rPr>
        <w:t>t’s intervention in the dispute</w:t>
      </w:r>
      <w:r w:rsidRPr="00465D4A">
        <w:rPr>
          <w:rFonts w:ascii="Times New Roman" w:hAnsi="Times New Roman" w:cs="Times New Roman"/>
          <w:sz w:val="24"/>
          <w:szCs w:val="24"/>
        </w:rPr>
        <w:t xml:space="preserve">, </w:t>
      </w:r>
      <w:r w:rsidR="00C85924" w:rsidRPr="00465D4A">
        <w:rPr>
          <w:rFonts w:ascii="Times New Roman" w:hAnsi="Times New Roman" w:cs="Times New Roman"/>
          <w:sz w:val="24"/>
          <w:szCs w:val="24"/>
        </w:rPr>
        <w:t xml:space="preserve">it was entirely up to the parties to push for a resolution of the matter as the aggrieved parties. That explained why the fourth respondent’s letter requesting further details on the dispute did not receive a response from the third respondent. Third respondent averred that the CBA was adopted following a meeting held on 22 March 2022. The applicant was allegedly made aware of the meeting through a telephone call to a Mr Shumba. Verification of the attendees was done and negotiations proceeded thereafter. </w:t>
      </w:r>
    </w:p>
    <w:p w14:paraId="0B0E28D1" w14:textId="7BF68296" w:rsidR="00C63A2B" w:rsidRPr="002A7E07" w:rsidRDefault="00C27E42" w:rsidP="00715665">
      <w:pPr>
        <w:spacing w:after="0" w:line="360" w:lineRule="auto"/>
        <w:ind w:firstLine="720"/>
        <w:jc w:val="both"/>
        <w:rPr>
          <w:rFonts w:ascii="Times New Roman" w:hAnsi="Times New Roman" w:cs="Times New Roman"/>
          <w:sz w:val="24"/>
          <w:szCs w:val="24"/>
        </w:rPr>
      </w:pPr>
      <w:r w:rsidRPr="002A7E07">
        <w:rPr>
          <w:rFonts w:ascii="Times New Roman" w:hAnsi="Times New Roman" w:cs="Times New Roman"/>
          <w:sz w:val="24"/>
          <w:szCs w:val="24"/>
        </w:rPr>
        <w:t>The third respondent</w:t>
      </w:r>
      <w:r w:rsidR="00C85924" w:rsidRPr="002A7E07">
        <w:rPr>
          <w:rFonts w:ascii="Times New Roman" w:hAnsi="Times New Roman" w:cs="Times New Roman"/>
          <w:sz w:val="24"/>
          <w:szCs w:val="24"/>
        </w:rPr>
        <w:t xml:space="preserve"> averred that the applicant had failed to establish its right to participate in the CBA. Such right did not exist as its membership was not even verified. The applicant had failed to establish a </w:t>
      </w:r>
      <w:r w:rsidR="00C85924" w:rsidRPr="002A7E07">
        <w:rPr>
          <w:rFonts w:ascii="Times New Roman" w:hAnsi="Times New Roman" w:cs="Times New Roman"/>
          <w:i/>
          <w:sz w:val="24"/>
          <w:szCs w:val="24"/>
        </w:rPr>
        <w:t>prima facie</w:t>
      </w:r>
      <w:r w:rsidR="00C85924" w:rsidRPr="002A7E07">
        <w:rPr>
          <w:rFonts w:ascii="Times New Roman" w:hAnsi="Times New Roman" w:cs="Times New Roman"/>
          <w:sz w:val="24"/>
          <w:szCs w:val="24"/>
        </w:rPr>
        <w:t xml:space="preserve"> case. Neither did it have any existing, future or contingent right arising from the unregistered CBA. </w:t>
      </w:r>
      <w:r w:rsidRPr="002A7E07">
        <w:rPr>
          <w:rFonts w:ascii="Times New Roman" w:hAnsi="Times New Roman" w:cs="Times New Roman"/>
          <w:sz w:val="24"/>
          <w:szCs w:val="24"/>
        </w:rPr>
        <w:t xml:space="preserve">The </w:t>
      </w:r>
      <w:r w:rsidR="00C85924" w:rsidRPr="002A7E07">
        <w:rPr>
          <w:rFonts w:ascii="Times New Roman" w:hAnsi="Times New Roman" w:cs="Times New Roman"/>
          <w:sz w:val="24"/>
          <w:szCs w:val="24"/>
        </w:rPr>
        <w:t xml:space="preserve">CBA had not yet been </w:t>
      </w:r>
      <w:r w:rsidRPr="002A7E07">
        <w:rPr>
          <w:rFonts w:ascii="Times New Roman" w:hAnsi="Times New Roman" w:cs="Times New Roman"/>
          <w:sz w:val="24"/>
          <w:szCs w:val="24"/>
        </w:rPr>
        <w:t xml:space="preserve">operationalized, and as such no rights accrued therefrom. </w:t>
      </w:r>
    </w:p>
    <w:p w14:paraId="0521C5A3" w14:textId="115D65F5" w:rsidR="00C27E42" w:rsidRPr="002A7E07" w:rsidRDefault="00C27E42" w:rsidP="00715665">
      <w:pPr>
        <w:spacing w:after="0" w:line="360" w:lineRule="auto"/>
        <w:ind w:firstLine="720"/>
        <w:jc w:val="both"/>
        <w:rPr>
          <w:rFonts w:ascii="Times New Roman" w:hAnsi="Times New Roman" w:cs="Times New Roman"/>
          <w:sz w:val="24"/>
          <w:szCs w:val="24"/>
        </w:rPr>
      </w:pPr>
      <w:r w:rsidRPr="002A7E07">
        <w:rPr>
          <w:rFonts w:ascii="Times New Roman" w:hAnsi="Times New Roman" w:cs="Times New Roman"/>
          <w:sz w:val="24"/>
          <w:szCs w:val="24"/>
        </w:rPr>
        <w:t xml:space="preserve">It was also averred that the matter was not urgent. The CBA which was being challenged had not yet been registered. There was nothing on record to show that its registration was imminent. The fourth respondent who was aware of the dispute had not yet applied her mind to the agreement. The internal remedies accorded by the labour laws had not been exhausted. Representations could still be made to the </w:t>
      </w:r>
      <w:r w:rsidR="007A0176" w:rsidRPr="002A7E07">
        <w:rPr>
          <w:rFonts w:ascii="Times New Roman" w:hAnsi="Times New Roman" w:cs="Times New Roman"/>
          <w:sz w:val="24"/>
          <w:szCs w:val="24"/>
        </w:rPr>
        <w:t xml:space="preserve">fourth respond to block the registration of the CBA. The urgency was self-created. The application was bad in law. The applicant had not made out a case for the granting of the relief sought. The court was urged to dismiss the application with costs on a higher scale. </w:t>
      </w:r>
    </w:p>
    <w:p w14:paraId="039D7FE1" w14:textId="3DEC54D9" w:rsidR="00B70471" w:rsidRPr="002A7E07" w:rsidRDefault="00B70471" w:rsidP="00715665">
      <w:pPr>
        <w:spacing w:after="0" w:line="360" w:lineRule="auto"/>
        <w:ind w:firstLine="720"/>
        <w:jc w:val="both"/>
        <w:rPr>
          <w:rFonts w:ascii="Times New Roman" w:hAnsi="Times New Roman" w:cs="Times New Roman"/>
          <w:sz w:val="24"/>
          <w:szCs w:val="24"/>
        </w:rPr>
      </w:pPr>
      <w:r w:rsidRPr="002A7E07">
        <w:rPr>
          <w:rFonts w:ascii="Times New Roman" w:hAnsi="Times New Roman" w:cs="Times New Roman"/>
          <w:sz w:val="24"/>
          <w:szCs w:val="24"/>
        </w:rPr>
        <w:t xml:space="preserve">At the commencement of the oral submissions, Mr </w:t>
      </w:r>
      <w:r w:rsidRPr="002A7E07">
        <w:rPr>
          <w:rFonts w:ascii="Times New Roman" w:hAnsi="Times New Roman" w:cs="Times New Roman"/>
          <w:i/>
          <w:sz w:val="24"/>
          <w:szCs w:val="24"/>
        </w:rPr>
        <w:t xml:space="preserve">Magogo </w:t>
      </w:r>
      <w:r w:rsidRPr="002A7E07">
        <w:rPr>
          <w:rFonts w:ascii="Times New Roman" w:hAnsi="Times New Roman" w:cs="Times New Roman"/>
          <w:sz w:val="24"/>
          <w:szCs w:val="24"/>
        </w:rPr>
        <w:t>for the appli</w:t>
      </w:r>
      <w:r w:rsidR="005C295D" w:rsidRPr="002A7E07">
        <w:rPr>
          <w:rFonts w:ascii="Times New Roman" w:hAnsi="Times New Roman" w:cs="Times New Roman"/>
          <w:sz w:val="24"/>
          <w:szCs w:val="24"/>
        </w:rPr>
        <w:t>cant submitted that the second respondent</w:t>
      </w:r>
      <w:r w:rsidRPr="002A7E07">
        <w:rPr>
          <w:rFonts w:ascii="Times New Roman" w:hAnsi="Times New Roman" w:cs="Times New Roman"/>
          <w:sz w:val="24"/>
          <w:szCs w:val="24"/>
        </w:rPr>
        <w:t xml:space="preserve"> was not properly before the court </w:t>
      </w:r>
      <w:r w:rsidR="00517A97" w:rsidRPr="002A7E07">
        <w:rPr>
          <w:rFonts w:ascii="Times New Roman" w:hAnsi="Times New Roman" w:cs="Times New Roman"/>
          <w:sz w:val="24"/>
          <w:szCs w:val="24"/>
        </w:rPr>
        <w:t xml:space="preserve">as its opposing affidavit </w:t>
      </w:r>
      <w:r w:rsidR="002A7E07">
        <w:rPr>
          <w:rFonts w:ascii="Times New Roman" w:hAnsi="Times New Roman" w:cs="Times New Roman"/>
          <w:sz w:val="24"/>
          <w:szCs w:val="24"/>
        </w:rPr>
        <w:t xml:space="preserve">was deposed to and filed </w:t>
      </w:r>
      <w:r w:rsidR="00517A97" w:rsidRPr="002A7E07">
        <w:rPr>
          <w:rFonts w:ascii="Times New Roman" w:hAnsi="Times New Roman" w:cs="Times New Roman"/>
          <w:sz w:val="24"/>
          <w:szCs w:val="24"/>
        </w:rPr>
        <w:t xml:space="preserve">by a party that had no interest in the proceedings. This objection shall be determined together with other objections raised on behalf of the respondents. The court must however consider the question of whether it has jurisdiction to entertain this application at the outset. </w:t>
      </w:r>
    </w:p>
    <w:p w14:paraId="071C20BD" w14:textId="5D20B9C4" w:rsidR="00517A97" w:rsidRPr="00AB0E40" w:rsidRDefault="00517A97" w:rsidP="00517A97">
      <w:pPr>
        <w:spacing w:after="0" w:line="360" w:lineRule="auto"/>
        <w:jc w:val="both"/>
        <w:rPr>
          <w:rFonts w:ascii="Times New Roman" w:hAnsi="Times New Roman" w:cs="Times New Roman"/>
          <w:b/>
          <w:sz w:val="24"/>
          <w:szCs w:val="24"/>
        </w:rPr>
      </w:pPr>
      <w:r w:rsidRPr="00AB0E40">
        <w:rPr>
          <w:rFonts w:ascii="Times New Roman" w:hAnsi="Times New Roman" w:cs="Times New Roman"/>
          <w:b/>
          <w:sz w:val="24"/>
          <w:szCs w:val="24"/>
        </w:rPr>
        <w:t xml:space="preserve">SUBMISSIONS AND ANALYSIS ON THE PRELIMINARY POINTS </w:t>
      </w:r>
    </w:p>
    <w:p w14:paraId="747BE8CE" w14:textId="315070F3" w:rsidR="00881C76" w:rsidRPr="00AB0E40" w:rsidRDefault="00517A97" w:rsidP="00517A97">
      <w:pPr>
        <w:spacing w:after="0" w:line="360" w:lineRule="auto"/>
        <w:jc w:val="both"/>
        <w:rPr>
          <w:rFonts w:ascii="Times New Roman" w:hAnsi="Times New Roman" w:cs="Times New Roman"/>
          <w:b/>
          <w:i/>
          <w:sz w:val="24"/>
          <w:szCs w:val="24"/>
        </w:rPr>
      </w:pPr>
      <w:r w:rsidRPr="00AB0E40">
        <w:rPr>
          <w:rFonts w:ascii="Times New Roman" w:hAnsi="Times New Roman" w:cs="Times New Roman"/>
          <w:b/>
          <w:i/>
          <w:sz w:val="24"/>
          <w:szCs w:val="24"/>
        </w:rPr>
        <w:t xml:space="preserve">Jurisdiction </w:t>
      </w:r>
    </w:p>
    <w:p w14:paraId="7609F0E4" w14:textId="6019A78B" w:rsidR="00517A97" w:rsidRPr="00AB0E40" w:rsidRDefault="00517A97" w:rsidP="00D33A14">
      <w:pPr>
        <w:spacing w:after="0" w:line="360" w:lineRule="auto"/>
        <w:ind w:firstLine="720"/>
        <w:jc w:val="both"/>
        <w:rPr>
          <w:rFonts w:ascii="Times New Roman" w:hAnsi="Times New Roman" w:cs="Times New Roman"/>
          <w:sz w:val="24"/>
          <w:szCs w:val="24"/>
        </w:rPr>
      </w:pPr>
      <w:r w:rsidRPr="00AB0E40">
        <w:rPr>
          <w:rFonts w:ascii="Times New Roman" w:hAnsi="Times New Roman" w:cs="Times New Roman"/>
          <w:sz w:val="24"/>
          <w:szCs w:val="24"/>
        </w:rPr>
        <w:t xml:space="preserve">Mr </w:t>
      </w:r>
      <w:r w:rsidRPr="00AB0E40">
        <w:rPr>
          <w:rFonts w:ascii="Times New Roman" w:hAnsi="Times New Roman" w:cs="Times New Roman"/>
          <w:i/>
          <w:sz w:val="24"/>
          <w:szCs w:val="24"/>
        </w:rPr>
        <w:t>Madhuku</w:t>
      </w:r>
      <w:r w:rsidRPr="00AB0E40">
        <w:rPr>
          <w:rFonts w:ascii="Times New Roman" w:hAnsi="Times New Roman" w:cs="Times New Roman"/>
          <w:sz w:val="24"/>
          <w:szCs w:val="24"/>
        </w:rPr>
        <w:t xml:space="preserve"> for the first and second respondents submitted that </w:t>
      </w:r>
      <w:r w:rsidR="00D33A14" w:rsidRPr="00AB0E40">
        <w:rPr>
          <w:rFonts w:ascii="Times New Roman" w:hAnsi="Times New Roman" w:cs="Times New Roman"/>
          <w:sz w:val="24"/>
          <w:szCs w:val="24"/>
        </w:rPr>
        <w:t xml:space="preserve">what was before the court was clearly a labour dispute. </w:t>
      </w:r>
      <w:r w:rsidR="009F26C2" w:rsidRPr="00AB0E40">
        <w:rPr>
          <w:rFonts w:ascii="Times New Roman" w:hAnsi="Times New Roman" w:cs="Times New Roman"/>
          <w:sz w:val="24"/>
          <w:szCs w:val="24"/>
        </w:rPr>
        <w:t xml:space="preserve">The applicant was seeking the resolution of a dispute that had arisen in the milling industry. The Act provided an </w:t>
      </w:r>
      <w:r w:rsidR="002A7E07" w:rsidRPr="00AB0E40">
        <w:rPr>
          <w:rFonts w:ascii="Times New Roman" w:hAnsi="Times New Roman" w:cs="Times New Roman"/>
          <w:sz w:val="24"/>
          <w:szCs w:val="24"/>
        </w:rPr>
        <w:t>inbuilt</w:t>
      </w:r>
      <w:r w:rsidR="009F26C2" w:rsidRPr="00AB0E40">
        <w:rPr>
          <w:rFonts w:ascii="Times New Roman" w:hAnsi="Times New Roman" w:cs="Times New Roman"/>
          <w:sz w:val="24"/>
          <w:szCs w:val="24"/>
        </w:rPr>
        <w:t xml:space="preserve"> mechanism for the resolution of such disputes. </w:t>
      </w:r>
      <w:r w:rsidR="00D33A14" w:rsidRPr="00AB0E40">
        <w:rPr>
          <w:rFonts w:ascii="Times New Roman" w:hAnsi="Times New Roman" w:cs="Times New Roman"/>
          <w:sz w:val="24"/>
          <w:szCs w:val="24"/>
        </w:rPr>
        <w:t>The Act provided for the negotiation and registration of a CBA</w:t>
      </w:r>
      <w:r w:rsidR="009F26C2" w:rsidRPr="00AB0E40">
        <w:rPr>
          <w:rFonts w:ascii="Times New Roman" w:hAnsi="Times New Roman" w:cs="Times New Roman"/>
          <w:sz w:val="24"/>
          <w:szCs w:val="24"/>
        </w:rPr>
        <w:t xml:space="preserve">. The same Act also established the office of the fourth respondent. </w:t>
      </w:r>
      <w:r w:rsidR="00D33A14" w:rsidRPr="00AB0E40">
        <w:rPr>
          <w:rFonts w:ascii="Times New Roman" w:hAnsi="Times New Roman" w:cs="Times New Roman"/>
          <w:sz w:val="24"/>
          <w:szCs w:val="24"/>
        </w:rPr>
        <w:t xml:space="preserve"> </w:t>
      </w:r>
      <w:r w:rsidR="00AB0E40" w:rsidRPr="00AB0E40">
        <w:rPr>
          <w:rFonts w:ascii="Times New Roman" w:hAnsi="Times New Roman" w:cs="Times New Roman"/>
          <w:sz w:val="24"/>
          <w:szCs w:val="24"/>
        </w:rPr>
        <w:t xml:space="preserve">Mr </w:t>
      </w:r>
      <w:r w:rsidR="00AB0E40" w:rsidRPr="00AB0E40">
        <w:rPr>
          <w:rFonts w:ascii="Times New Roman" w:hAnsi="Times New Roman" w:cs="Times New Roman"/>
          <w:i/>
          <w:sz w:val="24"/>
          <w:szCs w:val="24"/>
        </w:rPr>
        <w:t>Madhuku</w:t>
      </w:r>
      <w:r w:rsidR="00AB0E40" w:rsidRPr="00AB0E40">
        <w:rPr>
          <w:rFonts w:ascii="Times New Roman" w:hAnsi="Times New Roman" w:cs="Times New Roman"/>
          <w:sz w:val="24"/>
          <w:szCs w:val="24"/>
        </w:rPr>
        <w:t xml:space="preserve"> further submitted that the applicant ought to have </w:t>
      </w:r>
      <w:r w:rsidR="00AB0E40">
        <w:rPr>
          <w:rFonts w:ascii="Times New Roman" w:hAnsi="Times New Roman" w:cs="Times New Roman"/>
          <w:sz w:val="24"/>
          <w:szCs w:val="24"/>
        </w:rPr>
        <w:t xml:space="preserve">utilized the procedure for the resolution of labour disputes provided under </w:t>
      </w:r>
      <w:r w:rsidR="00AB0E40" w:rsidRPr="00AB0E40">
        <w:rPr>
          <w:rFonts w:ascii="Times New Roman" w:hAnsi="Times New Roman" w:cs="Times New Roman"/>
          <w:sz w:val="24"/>
          <w:szCs w:val="24"/>
        </w:rPr>
        <w:t xml:space="preserve">s 93 of the Labour Act. </w:t>
      </w:r>
      <w:r w:rsidR="009F26C2" w:rsidRPr="00AB0E40">
        <w:rPr>
          <w:rFonts w:ascii="Times New Roman" w:hAnsi="Times New Roman" w:cs="Times New Roman"/>
          <w:sz w:val="24"/>
          <w:szCs w:val="24"/>
        </w:rPr>
        <w:t xml:space="preserve">The court was referred to decisions of the Superior Courts which have </w:t>
      </w:r>
      <w:r w:rsidR="002A7E07">
        <w:rPr>
          <w:rFonts w:ascii="Times New Roman" w:hAnsi="Times New Roman" w:cs="Times New Roman"/>
          <w:sz w:val="24"/>
          <w:szCs w:val="24"/>
        </w:rPr>
        <w:t xml:space="preserve">resolved </w:t>
      </w:r>
      <w:r w:rsidR="009F26C2" w:rsidRPr="00AB0E40">
        <w:rPr>
          <w:rFonts w:ascii="Times New Roman" w:hAnsi="Times New Roman" w:cs="Times New Roman"/>
          <w:sz w:val="24"/>
          <w:szCs w:val="24"/>
        </w:rPr>
        <w:t xml:space="preserve">that the High Court has no jurisdiction </w:t>
      </w:r>
      <w:r w:rsidR="002A7E07">
        <w:rPr>
          <w:rFonts w:ascii="Times New Roman" w:hAnsi="Times New Roman" w:cs="Times New Roman"/>
          <w:sz w:val="24"/>
          <w:szCs w:val="24"/>
        </w:rPr>
        <w:t xml:space="preserve">over </w:t>
      </w:r>
      <w:r w:rsidR="009F26C2" w:rsidRPr="00AB0E40">
        <w:rPr>
          <w:rFonts w:ascii="Times New Roman" w:hAnsi="Times New Roman" w:cs="Times New Roman"/>
          <w:sz w:val="24"/>
          <w:szCs w:val="24"/>
        </w:rPr>
        <w:t>labour matters.</w:t>
      </w:r>
      <w:r w:rsidR="00A71B80" w:rsidRPr="00AB0E40">
        <w:rPr>
          <w:rStyle w:val="FootnoteReference"/>
          <w:rFonts w:ascii="Times New Roman" w:hAnsi="Times New Roman" w:cs="Times New Roman"/>
          <w:sz w:val="24"/>
          <w:szCs w:val="24"/>
        </w:rPr>
        <w:footnoteReference w:id="2"/>
      </w:r>
    </w:p>
    <w:p w14:paraId="3AD5559B" w14:textId="2B6AEE1F" w:rsidR="00573D33" w:rsidRDefault="00573D33" w:rsidP="00D33A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submissions on the same point, Ms </w:t>
      </w:r>
      <w:r w:rsidRPr="00573D33">
        <w:rPr>
          <w:rFonts w:ascii="Times New Roman" w:hAnsi="Times New Roman" w:cs="Times New Roman"/>
          <w:i/>
          <w:sz w:val="24"/>
          <w:szCs w:val="24"/>
        </w:rPr>
        <w:t>Sande</w:t>
      </w:r>
      <w:r>
        <w:rPr>
          <w:rFonts w:ascii="Times New Roman" w:hAnsi="Times New Roman" w:cs="Times New Roman"/>
          <w:sz w:val="24"/>
          <w:szCs w:val="24"/>
        </w:rPr>
        <w:t xml:space="preserve"> for the third respondent averred that the manner in which the application was couched suggested that applicant’s complaint was </w:t>
      </w:r>
      <w:r w:rsidR="00E04A8B">
        <w:rPr>
          <w:rFonts w:ascii="Times New Roman" w:hAnsi="Times New Roman" w:cs="Times New Roman"/>
          <w:sz w:val="24"/>
          <w:szCs w:val="24"/>
        </w:rPr>
        <w:t xml:space="preserve">so much about the procedural defects that afflicted the manner in which the CBA </w:t>
      </w:r>
      <w:r w:rsidR="002A7E07">
        <w:rPr>
          <w:rFonts w:ascii="Times New Roman" w:hAnsi="Times New Roman" w:cs="Times New Roman"/>
          <w:sz w:val="24"/>
          <w:szCs w:val="24"/>
        </w:rPr>
        <w:t xml:space="preserve">was </w:t>
      </w:r>
      <w:r w:rsidR="00E04A8B">
        <w:rPr>
          <w:rFonts w:ascii="Times New Roman" w:hAnsi="Times New Roman" w:cs="Times New Roman"/>
          <w:sz w:val="24"/>
          <w:szCs w:val="24"/>
        </w:rPr>
        <w:t>negotiated. The substantive relief sought on the return date was clearly one obtain</w:t>
      </w:r>
      <w:r w:rsidR="002A7E07">
        <w:rPr>
          <w:rFonts w:ascii="Times New Roman" w:hAnsi="Times New Roman" w:cs="Times New Roman"/>
          <w:sz w:val="24"/>
          <w:szCs w:val="24"/>
        </w:rPr>
        <w:t>able t</w:t>
      </w:r>
      <w:r w:rsidR="00E04A8B">
        <w:rPr>
          <w:rFonts w:ascii="Times New Roman" w:hAnsi="Times New Roman" w:cs="Times New Roman"/>
          <w:sz w:val="24"/>
          <w:szCs w:val="24"/>
        </w:rPr>
        <w:t xml:space="preserve">hrough a review disguised as a </w:t>
      </w:r>
      <w:r w:rsidR="00E04A8B" w:rsidRPr="00E04A8B">
        <w:rPr>
          <w:rFonts w:ascii="Times New Roman" w:hAnsi="Times New Roman" w:cs="Times New Roman"/>
          <w:i/>
          <w:sz w:val="24"/>
          <w:szCs w:val="24"/>
        </w:rPr>
        <w:t>declaratur</w:t>
      </w:r>
      <w:r w:rsidR="00E04A8B">
        <w:rPr>
          <w:rFonts w:ascii="Times New Roman" w:hAnsi="Times New Roman" w:cs="Times New Roman"/>
          <w:sz w:val="24"/>
          <w:szCs w:val="24"/>
        </w:rPr>
        <w:t xml:space="preserve">. The court was referred to the cases of </w:t>
      </w:r>
      <w:r w:rsidR="00E04A8B" w:rsidRPr="00E04A8B">
        <w:rPr>
          <w:rFonts w:ascii="Times New Roman" w:hAnsi="Times New Roman" w:cs="Times New Roman"/>
          <w:i/>
          <w:sz w:val="24"/>
          <w:szCs w:val="24"/>
        </w:rPr>
        <w:t>Kuchena v Scientific Industrial and Development Centre</w:t>
      </w:r>
      <w:r w:rsidR="002A7E07">
        <w:rPr>
          <w:rStyle w:val="FootnoteReference"/>
          <w:rFonts w:ascii="Times New Roman" w:hAnsi="Times New Roman" w:cs="Times New Roman"/>
          <w:i/>
          <w:sz w:val="24"/>
          <w:szCs w:val="24"/>
        </w:rPr>
        <w:footnoteReference w:id="3"/>
      </w:r>
      <w:r w:rsidR="00E04A8B">
        <w:rPr>
          <w:rFonts w:ascii="Times New Roman" w:hAnsi="Times New Roman" w:cs="Times New Roman"/>
          <w:sz w:val="24"/>
          <w:szCs w:val="24"/>
        </w:rPr>
        <w:t xml:space="preserve"> and </w:t>
      </w:r>
      <w:r w:rsidR="00E04A8B" w:rsidRPr="00E04A8B">
        <w:rPr>
          <w:rFonts w:ascii="Times New Roman" w:hAnsi="Times New Roman" w:cs="Times New Roman"/>
          <w:i/>
          <w:sz w:val="24"/>
          <w:szCs w:val="24"/>
        </w:rPr>
        <w:t>Kabichi v Minerals Marketing Corporation of Zimbabwe</w:t>
      </w:r>
      <w:r w:rsidR="002A7E07">
        <w:rPr>
          <w:rStyle w:val="FootnoteReference"/>
          <w:rFonts w:ascii="Times New Roman" w:hAnsi="Times New Roman" w:cs="Times New Roman"/>
          <w:i/>
          <w:sz w:val="24"/>
          <w:szCs w:val="24"/>
        </w:rPr>
        <w:footnoteReference w:id="4"/>
      </w:r>
      <w:r w:rsidR="00E04A8B">
        <w:rPr>
          <w:rFonts w:ascii="Times New Roman" w:hAnsi="Times New Roman" w:cs="Times New Roman"/>
          <w:sz w:val="24"/>
          <w:szCs w:val="24"/>
        </w:rPr>
        <w:t xml:space="preserve">, in which this court declined to exercise its inherent jurisdiction, asserting that labour matters must remain the domain of the Labour Court. </w:t>
      </w:r>
    </w:p>
    <w:p w14:paraId="11A09AF3" w14:textId="382A9783" w:rsidR="00F70432" w:rsidRDefault="00F70432" w:rsidP="00D33A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Mr </w:t>
      </w:r>
      <w:r w:rsidRPr="00F70432">
        <w:rPr>
          <w:rFonts w:ascii="Times New Roman" w:hAnsi="Times New Roman" w:cs="Times New Roman"/>
          <w:i/>
          <w:sz w:val="24"/>
          <w:szCs w:val="24"/>
        </w:rPr>
        <w:t>Magogo</w:t>
      </w:r>
      <w:r>
        <w:rPr>
          <w:rFonts w:ascii="Times New Roman" w:hAnsi="Times New Roman" w:cs="Times New Roman"/>
          <w:sz w:val="24"/>
          <w:szCs w:val="24"/>
        </w:rPr>
        <w:t xml:space="preserve"> submitted that this court must be slow in declining jurisdiction in labour matters where the Act makes no provision for</w:t>
      </w:r>
      <w:r w:rsidR="002A7E07">
        <w:rPr>
          <w:rFonts w:ascii="Times New Roman" w:hAnsi="Times New Roman" w:cs="Times New Roman"/>
          <w:sz w:val="24"/>
          <w:szCs w:val="24"/>
        </w:rPr>
        <w:t xml:space="preserve"> the resolution of a labour related </w:t>
      </w:r>
      <w:r>
        <w:rPr>
          <w:rFonts w:ascii="Times New Roman" w:hAnsi="Times New Roman" w:cs="Times New Roman"/>
          <w:sz w:val="24"/>
          <w:szCs w:val="24"/>
        </w:rPr>
        <w:t xml:space="preserve">dispute between the parties. He further submitted that the Act did not make provision for the resolution of disputes of this nature and for that reason, the inherent jurisdiction of this court was not ousted. </w:t>
      </w:r>
    </w:p>
    <w:p w14:paraId="267053AF" w14:textId="4063B90B" w:rsidR="00B90029" w:rsidRDefault="00162341" w:rsidP="00D33A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is aware that the position of the law is now settled that the High Court cannot exercise its </w:t>
      </w:r>
      <w:r w:rsidR="00FA6C07">
        <w:rPr>
          <w:rFonts w:ascii="Times New Roman" w:hAnsi="Times New Roman" w:cs="Times New Roman"/>
          <w:sz w:val="24"/>
          <w:szCs w:val="24"/>
        </w:rPr>
        <w:t>original jurisdiction in labour matters.</w:t>
      </w:r>
      <w:r w:rsidR="00FA6C07">
        <w:rPr>
          <w:rStyle w:val="FootnoteReference"/>
          <w:rFonts w:ascii="Times New Roman" w:hAnsi="Times New Roman" w:cs="Times New Roman"/>
          <w:sz w:val="24"/>
          <w:szCs w:val="24"/>
        </w:rPr>
        <w:footnoteReference w:id="5"/>
      </w:r>
      <w:r w:rsidR="00FA6C07">
        <w:rPr>
          <w:rFonts w:ascii="Times New Roman" w:hAnsi="Times New Roman" w:cs="Times New Roman"/>
          <w:sz w:val="24"/>
          <w:szCs w:val="24"/>
        </w:rPr>
        <w:t xml:space="preserve"> </w:t>
      </w:r>
      <w:r w:rsidR="008D1120">
        <w:rPr>
          <w:rFonts w:ascii="Times New Roman" w:hAnsi="Times New Roman" w:cs="Times New Roman"/>
          <w:sz w:val="24"/>
          <w:szCs w:val="24"/>
        </w:rPr>
        <w:t xml:space="preserve">There remains residual matters in respect of which the High Court is still imbued with jurisdiction to deal with such matters notwithstanding the fact that they fall within the domain of labour matters. </w:t>
      </w:r>
      <w:r w:rsidR="00FA6C07">
        <w:rPr>
          <w:rFonts w:ascii="Times New Roman" w:hAnsi="Times New Roman" w:cs="Times New Roman"/>
          <w:sz w:val="24"/>
          <w:szCs w:val="24"/>
        </w:rPr>
        <w:t xml:space="preserve">In determining whether the dispute before it is exclusively a labour matter, the court must not look at the relief sought </w:t>
      </w:r>
      <w:r w:rsidR="002A7E07">
        <w:rPr>
          <w:rFonts w:ascii="Times New Roman" w:hAnsi="Times New Roman" w:cs="Times New Roman"/>
          <w:sz w:val="24"/>
          <w:szCs w:val="24"/>
        </w:rPr>
        <w:t xml:space="preserve">by a litigant </w:t>
      </w:r>
      <w:r w:rsidR="00FA6C07">
        <w:rPr>
          <w:rFonts w:ascii="Times New Roman" w:hAnsi="Times New Roman" w:cs="Times New Roman"/>
          <w:sz w:val="24"/>
          <w:szCs w:val="24"/>
        </w:rPr>
        <w:t xml:space="preserve">alone. It must have regard to the grounds upon which the application is premised as substantiated by the material averments of evidence made in the founding affidavit. </w:t>
      </w:r>
      <w:r w:rsidR="00B90029">
        <w:rPr>
          <w:rFonts w:ascii="Times New Roman" w:hAnsi="Times New Roman" w:cs="Times New Roman"/>
          <w:sz w:val="24"/>
          <w:szCs w:val="24"/>
        </w:rPr>
        <w:t>In</w:t>
      </w:r>
      <w:r w:rsidR="00FA6C07">
        <w:rPr>
          <w:rFonts w:ascii="Times New Roman" w:hAnsi="Times New Roman" w:cs="Times New Roman"/>
          <w:sz w:val="24"/>
          <w:szCs w:val="24"/>
        </w:rPr>
        <w:t xml:space="preserve"> </w:t>
      </w:r>
      <w:r w:rsidR="00B90029" w:rsidRPr="00B90029">
        <w:rPr>
          <w:rFonts w:ascii="Times New Roman" w:hAnsi="Times New Roman" w:cs="Times New Roman"/>
          <w:i/>
          <w:sz w:val="24"/>
          <w:szCs w:val="24"/>
        </w:rPr>
        <w:t>Muchenje v Mutangadura</w:t>
      </w:r>
      <w:r w:rsidR="00AE4B24">
        <w:rPr>
          <w:rFonts w:ascii="Times New Roman" w:hAnsi="Times New Roman" w:cs="Times New Roman"/>
          <w:i/>
          <w:sz w:val="24"/>
          <w:szCs w:val="24"/>
        </w:rPr>
        <w:t xml:space="preserve"> &amp; Ors</w:t>
      </w:r>
      <w:r w:rsidR="00AE4B24">
        <w:rPr>
          <w:rStyle w:val="FootnoteReference"/>
          <w:rFonts w:ascii="Times New Roman" w:hAnsi="Times New Roman" w:cs="Times New Roman"/>
          <w:i/>
          <w:sz w:val="24"/>
          <w:szCs w:val="24"/>
        </w:rPr>
        <w:footnoteReference w:id="6"/>
      </w:r>
      <w:r w:rsidR="00B90029">
        <w:rPr>
          <w:rFonts w:ascii="Times New Roman" w:hAnsi="Times New Roman" w:cs="Times New Roman"/>
          <w:sz w:val="24"/>
          <w:szCs w:val="24"/>
        </w:rPr>
        <w:t>, MUREMBA J articulated the position as follows:</w:t>
      </w:r>
    </w:p>
    <w:p w14:paraId="62762CDE" w14:textId="77777777" w:rsidR="00B90029" w:rsidRDefault="00B90029" w:rsidP="008F0E51">
      <w:pPr>
        <w:spacing w:after="0" w:line="240" w:lineRule="auto"/>
        <w:ind w:left="720"/>
        <w:jc w:val="both"/>
        <w:rPr>
          <w:rFonts w:ascii="Times New Roman" w:hAnsi="Times New Roman" w:cs="Times New Roman"/>
        </w:rPr>
      </w:pPr>
      <w:r w:rsidRPr="008F0E51">
        <w:rPr>
          <w:rFonts w:ascii="Times New Roman" w:hAnsi="Times New Roman" w:cs="Times New Roman"/>
        </w:rPr>
        <w:t>“The fact that the applicant is seeking a particular relief is not itself decisive. In other words what is important or what matters are the grounds on which the application is based rather than the order or relief that is being sought. Regard should be heard to the substance of the application and the averments contained therein instead of the relief that is being sought…”</w:t>
      </w:r>
    </w:p>
    <w:p w14:paraId="75E0221B" w14:textId="77777777" w:rsidR="00AE4B24" w:rsidRPr="008F0E51" w:rsidRDefault="00AE4B24" w:rsidP="008F0E51">
      <w:pPr>
        <w:spacing w:after="0" w:line="240" w:lineRule="auto"/>
        <w:ind w:left="720"/>
        <w:jc w:val="both"/>
        <w:rPr>
          <w:rFonts w:ascii="Times New Roman" w:hAnsi="Times New Roman" w:cs="Times New Roman"/>
        </w:rPr>
      </w:pPr>
    </w:p>
    <w:p w14:paraId="23CAAAE5" w14:textId="3000E56A" w:rsidR="00AD556C" w:rsidRDefault="008D1120" w:rsidP="00AE4B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views of the learned </w:t>
      </w:r>
      <w:r w:rsidR="00AE4B24">
        <w:rPr>
          <w:rFonts w:ascii="Times New Roman" w:hAnsi="Times New Roman" w:cs="Times New Roman"/>
          <w:sz w:val="24"/>
          <w:szCs w:val="24"/>
        </w:rPr>
        <w:t xml:space="preserve">judge </w:t>
      </w:r>
      <w:r>
        <w:rPr>
          <w:rFonts w:ascii="Times New Roman" w:hAnsi="Times New Roman" w:cs="Times New Roman"/>
          <w:sz w:val="24"/>
          <w:szCs w:val="24"/>
        </w:rPr>
        <w:t xml:space="preserve">are quite apposite. It is not unusual for litigants to disguise matters under some appellation that would ordinarily take it out of the labour domain, when for all intents and purposes, such a matter must be dealt with in terms of the labour laws. A perusal of paragraph 23 of the founding affidavit shows that the applicant in essence seeks several </w:t>
      </w:r>
      <w:r w:rsidR="00EB5829" w:rsidRPr="008D1120">
        <w:rPr>
          <w:rFonts w:ascii="Times New Roman" w:hAnsi="Times New Roman" w:cs="Times New Roman"/>
          <w:i/>
          <w:sz w:val="24"/>
          <w:szCs w:val="24"/>
        </w:rPr>
        <w:t>declaraturs</w:t>
      </w:r>
      <w:r w:rsidR="00EB5829">
        <w:rPr>
          <w:rFonts w:ascii="Times New Roman" w:hAnsi="Times New Roman" w:cs="Times New Roman"/>
          <w:i/>
          <w:sz w:val="24"/>
          <w:szCs w:val="24"/>
        </w:rPr>
        <w:t xml:space="preserve"> </w:t>
      </w:r>
      <w:r w:rsidR="00EB5829" w:rsidRPr="00AE4B24">
        <w:rPr>
          <w:rFonts w:ascii="Times New Roman" w:hAnsi="Times New Roman" w:cs="Times New Roman"/>
          <w:sz w:val="24"/>
          <w:szCs w:val="24"/>
        </w:rPr>
        <w:t>which fall</w:t>
      </w:r>
      <w:r w:rsidR="00EB5829">
        <w:rPr>
          <w:rFonts w:ascii="Times New Roman" w:hAnsi="Times New Roman" w:cs="Times New Roman"/>
          <w:sz w:val="24"/>
          <w:szCs w:val="24"/>
        </w:rPr>
        <w:t xml:space="preserve"> for determination on the return date. </w:t>
      </w:r>
      <w:r w:rsidR="008F0E51">
        <w:rPr>
          <w:rFonts w:ascii="Times New Roman" w:hAnsi="Times New Roman" w:cs="Times New Roman"/>
          <w:sz w:val="24"/>
          <w:szCs w:val="24"/>
        </w:rPr>
        <w:t xml:space="preserve">Mr </w:t>
      </w:r>
      <w:r w:rsidR="008F0E51" w:rsidRPr="008F0E51">
        <w:rPr>
          <w:rFonts w:ascii="Times New Roman" w:hAnsi="Times New Roman" w:cs="Times New Roman"/>
          <w:i/>
          <w:sz w:val="24"/>
          <w:szCs w:val="24"/>
        </w:rPr>
        <w:t>Madhuku’s</w:t>
      </w:r>
      <w:r w:rsidR="008F0E51">
        <w:rPr>
          <w:rFonts w:ascii="Times New Roman" w:hAnsi="Times New Roman" w:cs="Times New Roman"/>
          <w:sz w:val="24"/>
          <w:szCs w:val="24"/>
        </w:rPr>
        <w:t xml:space="preserve"> submission that s 93 (7) of the Act accords the applicant sufficient remedies that he ought to have pursued instead of approaching this court is indeed persuasive. However what takes this case outside the ambit of s 93 of the Act is the nature of the application as amplified by the evidence placed before the court. I am of course minded that at this stage this court cannot interrogate the merits of the </w:t>
      </w:r>
      <w:r w:rsidR="00526F33">
        <w:rPr>
          <w:rFonts w:ascii="Times New Roman" w:hAnsi="Times New Roman" w:cs="Times New Roman"/>
          <w:sz w:val="24"/>
          <w:szCs w:val="24"/>
        </w:rPr>
        <w:t xml:space="preserve">application as regards the substantive relief sought on the return date. That is a matter for the court to consider on the return date. Suffice it to note that the Labour Court does not have the powers to issue </w:t>
      </w:r>
      <w:r w:rsidR="00526F33" w:rsidRPr="00526F33">
        <w:rPr>
          <w:rFonts w:ascii="Times New Roman" w:hAnsi="Times New Roman" w:cs="Times New Roman"/>
          <w:i/>
          <w:sz w:val="24"/>
          <w:szCs w:val="24"/>
        </w:rPr>
        <w:t>declaraturs</w:t>
      </w:r>
      <w:r w:rsidR="00526F33">
        <w:rPr>
          <w:rFonts w:ascii="Times New Roman" w:hAnsi="Times New Roman" w:cs="Times New Roman"/>
          <w:sz w:val="24"/>
          <w:szCs w:val="24"/>
        </w:rPr>
        <w:t xml:space="preserve"> </w:t>
      </w:r>
      <w:r w:rsidR="00AD556C">
        <w:rPr>
          <w:rFonts w:ascii="Times New Roman" w:hAnsi="Times New Roman" w:cs="Times New Roman"/>
          <w:sz w:val="24"/>
          <w:szCs w:val="24"/>
        </w:rPr>
        <w:t>or grant interim interdicts of the nature sought herein.</w:t>
      </w:r>
      <w:r w:rsidR="00AD556C">
        <w:rPr>
          <w:rStyle w:val="FootnoteReference"/>
          <w:rFonts w:ascii="Times New Roman" w:hAnsi="Times New Roman" w:cs="Times New Roman"/>
          <w:sz w:val="24"/>
          <w:szCs w:val="24"/>
        </w:rPr>
        <w:footnoteReference w:id="7"/>
      </w:r>
      <w:r w:rsidR="00AD556C">
        <w:rPr>
          <w:rFonts w:ascii="Times New Roman" w:hAnsi="Times New Roman" w:cs="Times New Roman"/>
          <w:sz w:val="24"/>
          <w:szCs w:val="24"/>
        </w:rPr>
        <w:t xml:space="preserve"> </w:t>
      </w:r>
    </w:p>
    <w:p w14:paraId="7AB53F10" w14:textId="2D6DEB2D" w:rsidR="00693D8E" w:rsidRDefault="00AD556C" w:rsidP="00AD55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court’s attention was also drawn to the judgment of my brother DEME J in </w:t>
      </w:r>
      <w:r w:rsidRPr="00AD556C">
        <w:rPr>
          <w:rFonts w:ascii="Times New Roman" w:hAnsi="Times New Roman" w:cs="Times New Roman"/>
          <w:i/>
          <w:sz w:val="24"/>
          <w:szCs w:val="24"/>
        </w:rPr>
        <w:t>Baking and Allied Workers Union &amp; Four Others</w:t>
      </w:r>
      <w:r w:rsidRPr="00F718AB">
        <w:rPr>
          <w:rFonts w:ascii="Times New Roman" w:hAnsi="Times New Roman" w:cs="Times New Roman"/>
          <w:sz w:val="24"/>
          <w:szCs w:val="24"/>
        </w:rPr>
        <w:t xml:space="preserve"> v</w:t>
      </w:r>
      <w:r w:rsidRPr="00AD556C">
        <w:rPr>
          <w:rFonts w:ascii="Times New Roman" w:hAnsi="Times New Roman" w:cs="Times New Roman"/>
          <w:i/>
          <w:sz w:val="24"/>
          <w:szCs w:val="24"/>
        </w:rPr>
        <w:t xml:space="preserve"> National Employment Council for Food and Allied Industries and Seven Others</w:t>
      </w:r>
      <w:r w:rsidR="005C295D">
        <w:rPr>
          <w:rStyle w:val="FootnoteReference"/>
          <w:rFonts w:ascii="Times New Roman" w:hAnsi="Times New Roman" w:cs="Times New Roman"/>
          <w:i/>
          <w:sz w:val="24"/>
          <w:szCs w:val="24"/>
        </w:rPr>
        <w:footnoteReference w:id="8"/>
      </w:r>
      <w:r>
        <w:rPr>
          <w:rFonts w:ascii="Times New Roman" w:hAnsi="Times New Roman" w:cs="Times New Roman"/>
          <w:sz w:val="24"/>
          <w:szCs w:val="24"/>
        </w:rPr>
        <w:t xml:space="preserve"> </w:t>
      </w:r>
      <w:r w:rsidR="006354BA">
        <w:rPr>
          <w:rFonts w:ascii="Times New Roman" w:hAnsi="Times New Roman" w:cs="Times New Roman"/>
          <w:sz w:val="24"/>
          <w:szCs w:val="24"/>
        </w:rPr>
        <w:t xml:space="preserve">where this court amongst other reasons given, declined jurisdiction on the basis that the parties had agreed in their constitution that all disputes that may arise must be resolved in terms of the Labour Act as amended from time to time. </w:t>
      </w:r>
      <w:r w:rsidR="00B22A2F">
        <w:rPr>
          <w:rFonts w:ascii="Times New Roman" w:hAnsi="Times New Roman" w:cs="Times New Roman"/>
          <w:sz w:val="24"/>
          <w:szCs w:val="24"/>
        </w:rPr>
        <w:t xml:space="preserve">That finding was made after the court had considered the matter on the merits. That issue was not argued before me and I must hazard </w:t>
      </w:r>
      <w:r w:rsidR="00693D8E">
        <w:rPr>
          <w:rFonts w:ascii="Times New Roman" w:hAnsi="Times New Roman" w:cs="Times New Roman"/>
          <w:sz w:val="24"/>
          <w:szCs w:val="24"/>
        </w:rPr>
        <w:t xml:space="preserve">to also point that this court is not concerned with the merits of the dispute at this stage. Suffice it to observe though that the jurisdiction of the court cannot be </w:t>
      </w:r>
      <w:r w:rsidR="00AE4B24">
        <w:rPr>
          <w:rFonts w:ascii="Times New Roman" w:hAnsi="Times New Roman" w:cs="Times New Roman"/>
          <w:sz w:val="24"/>
          <w:szCs w:val="24"/>
        </w:rPr>
        <w:t xml:space="preserve">easily </w:t>
      </w:r>
      <w:r w:rsidR="00693D8E">
        <w:rPr>
          <w:rFonts w:ascii="Times New Roman" w:hAnsi="Times New Roman" w:cs="Times New Roman"/>
          <w:sz w:val="24"/>
          <w:szCs w:val="24"/>
        </w:rPr>
        <w:t xml:space="preserve">ousted by an agreement between the parties. </w:t>
      </w:r>
    </w:p>
    <w:p w14:paraId="313E4668" w14:textId="77777777" w:rsidR="00693D8E" w:rsidRDefault="00693D8E" w:rsidP="00AD55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foregoing reasons, I find that this court has jurisdiction to deal with this matter.</w:t>
      </w:r>
    </w:p>
    <w:p w14:paraId="7F3F2C3B" w14:textId="77777777" w:rsidR="005C295D" w:rsidRDefault="005C295D" w:rsidP="00693D8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Whether the Second Respondent is properly before the court</w:t>
      </w:r>
    </w:p>
    <w:p w14:paraId="6F03BDB2" w14:textId="68C0BE42" w:rsidR="002F6A97" w:rsidRDefault="00AF1734" w:rsidP="00AE4B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respondent’s opposing affidavit was deposed to </w:t>
      </w:r>
      <w:r w:rsidR="006A7F79">
        <w:rPr>
          <w:rFonts w:ascii="Times New Roman" w:hAnsi="Times New Roman" w:cs="Times New Roman"/>
          <w:sz w:val="24"/>
          <w:szCs w:val="24"/>
        </w:rPr>
        <w:t xml:space="preserve">by the General Secretary of UFAWUZ. That entity is a federation of trade unions to which the second respondent is affiliated. </w:t>
      </w:r>
      <w:r w:rsidR="00F135D3">
        <w:rPr>
          <w:rFonts w:ascii="Times New Roman" w:hAnsi="Times New Roman" w:cs="Times New Roman"/>
          <w:sz w:val="24"/>
          <w:szCs w:val="24"/>
        </w:rPr>
        <w:t xml:space="preserve">Mr </w:t>
      </w:r>
      <w:r w:rsidR="00F135D3" w:rsidRPr="00F135D3">
        <w:rPr>
          <w:rFonts w:ascii="Times New Roman" w:hAnsi="Times New Roman" w:cs="Times New Roman"/>
          <w:i/>
          <w:sz w:val="24"/>
          <w:szCs w:val="24"/>
        </w:rPr>
        <w:t>Magogo</w:t>
      </w:r>
      <w:r w:rsidR="00F135D3">
        <w:rPr>
          <w:rFonts w:ascii="Times New Roman" w:hAnsi="Times New Roman" w:cs="Times New Roman"/>
          <w:sz w:val="24"/>
          <w:szCs w:val="24"/>
        </w:rPr>
        <w:t xml:space="preserve"> submitted that there was no opposition on behalf of the second respondent as its affidavit was deposed to by an official representing an entity that was not a party to the proceedings. </w:t>
      </w:r>
      <w:r w:rsidR="00BB4F24">
        <w:rPr>
          <w:rFonts w:ascii="Times New Roman" w:hAnsi="Times New Roman" w:cs="Times New Roman"/>
          <w:sz w:val="24"/>
          <w:szCs w:val="24"/>
        </w:rPr>
        <w:t>He further submitted that the decision to oppose the application could not be taken by any other party other than the second respondent. He referred to section 29(2) of the Act which states that:</w:t>
      </w:r>
    </w:p>
    <w:p w14:paraId="64CDE834" w14:textId="377073F9" w:rsidR="00BB4F24" w:rsidRPr="00126164" w:rsidRDefault="00BB4F24" w:rsidP="00126164">
      <w:pPr>
        <w:autoSpaceDE w:val="0"/>
        <w:autoSpaceDN w:val="0"/>
        <w:adjustRightInd w:val="0"/>
        <w:spacing w:after="0" w:line="240" w:lineRule="auto"/>
        <w:jc w:val="both"/>
        <w:rPr>
          <w:rFonts w:ascii="Times New Roman" w:hAnsi="Times New Roman" w:cs="Times New Roman"/>
          <w:b/>
          <w:bCs/>
          <w:sz w:val="21"/>
          <w:szCs w:val="21"/>
          <w:lang w:val="en-ZW"/>
        </w:rPr>
      </w:pPr>
      <w:r>
        <w:rPr>
          <w:rFonts w:ascii="Times New Roman" w:hAnsi="Times New Roman" w:cs="Times New Roman"/>
          <w:sz w:val="24"/>
          <w:szCs w:val="24"/>
        </w:rPr>
        <w:tab/>
      </w:r>
      <w:r w:rsidR="00126164">
        <w:rPr>
          <w:rFonts w:ascii="Times New Roman" w:hAnsi="Times New Roman" w:cs="Times New Roman"/>
          <w:sz w:val="24"/>
          <w:szCs w:val="24"/>
        </w:rPr>
        <w:t>“</w:t>
      </w:r>
      <w:r w:rsidRPr="00126164">
        <w:rPr>
          <w:rFonts w:ascii="Times New Roman" w:hAnsi="Times New Roman" w:cs="Times New Roman"/>
          <w:b/>
          <w:bCs/>
          <w:sz w:val="21"/>
          <w:szCs w:val="21"/>
          <w:lang w:val="en-ZW"/>
        </w:rPr>
        <w:t>29 Registration of trade unions and employers organizations and privileges thereof</w:t>
      </w:r>
    </w:p>
    <w:p w14:paraId="48D31B7A" w14:textId="2424F1BA" w:rsidR="00BB4F24" w:rsidRPr="00126164" w:rsidRDefault="00BB4F24" w:rsidP="00126164">
      <w:pPr>
        <w:autoSpaceDE w:val="0"/>
        <w:autoSpaceDN w:val="0"/>
        <w:adjustRightInd w:val="0"/>
        <w:spacing w:after="0" w:line="240" w:lineRule="auto"/>
        <w:ind w:left="993" w:hanging="284"/>
        <w:jc w:val="both"/>
        <w:rPr>
          <w:rFonts w:ascii="Times New Roman" w:hAnsi="Times New Roman" w:cs="Times New Roman"/>
          <w:sz w:val="21"/>
          <w:szCs w:val="21"/>
          <w:lang w:val="en-ZW"/>
        </w:rPr>
      </w:pPr>
      <w:r w:rsidRPr="00126164">
        <w:rPr>
          <w:rFonts w:ascii="Times New Roman" w:hAnsi="Times New Roman" w:cs="Times New Roman"/>
          <w:sz w:val="21"/>
          <w:szCs w:val="21"/>
          <w:lang w:val="en-ZW"/>
        </w:rPr>
        <w:t>(1) Subject to this Act, any trade union, employers organization or federation may, if it so</w:t>
      </w:r>
      <w:r w:rsidR="00126164">
        <w:rPr>
          <w:rFonts w:ascii="Times New Roman" w:hAnsi="Times New Roman" w:cs="Times New Roman"/>
          <w:sz w:val="21"/>
          <w:szCs w:val="21"/>
          <w:lang w:val="en-ZW"/>
        </w:rPr>
        <w:t xml:space="preserve"> </w:t>
      </w:r>
      <w:r w:rsidRPr="00126164">
        <w:rPr>
          <w:rFonts w:ascii="Times New Roman" w:hAnsi="Times New Roman" w:cs="Times New Roman"/>
          <w:sz w:val="21"/>
          <w:szCs w:val="21"/>
          <w:lang w:val="en-ZW"/>
        </w:rPr>
        <w:t>desires, apply for registration.</w:t>
      </w:r>
    </w:p>
    <w:p w14:paraId="761041FF" w14:textId="3F3A30D0" w:rsidR="00BB4F24" w:rsidRDefault="00BB4F24" w:rsidP="00126164">
      <w:pPr>
        <w:autoSpaceDE w:val="0"/>
        <w:autoSpaceDN w:val="0"/>
        <w:adjustRightInd w:val="0"/>
        <w:spacing w:after="0" w:line="240" w:lineRule="auto"/>
        <w:ind w:left="993" w:hanging="273"/>
        <w:jc w:val="both"/>
        <w:rPr>
          <w:rFonts w:ascii="Times New Roman" w:hAnsi="Times New Roman" w:cs="Times New Roman"/>
          <w:sz w:val="21"/>
          <w:szCs w:val="21"/>
          <w:lang w:val="en-ZW"/>
        </w:rPr>
      </w:pPr>
      <w:r w:rsidRPr="00126164">
        <w:rPr>
          <w:rFonts w:ascii="Times New Roman" w:hAnsi="Times New Roman" w:cs="Times New Roman"/>
          <w:sz w:val="21"/>
          <w:szCs w:val="21"/>
          <w:lang w:val="en-ZW"/>
        </w:rPr>
        <w:t xml:space="preserve">(2) Every </w:t>
      </w:r>
      <w:r w:rsidRPr="003929DB">
        <w:rPr>
          <w:rFonts w:ascii="Times New Roman" w:hAnsi="Times New Roman" w:cs="Times New Roman"/>
          <w:sz w:val="21"/>
          <w:szCs w:val="21"/>
          <w:u w:val="single"/>
          <w:lang w:val="en-ZW"/>
        </w:rPr>
        <w:t>trade union, employers organization or federation shall, upon registration, become a</w:t>
      </w:r>
      <w:r w:rsidR="00126164" w:rsidRPr="003929DB">
        <w:rPr>
          <w:rFonts w:ascii="Times New Roman" w:hAnsi="Times New Roman" w:cs="Times New Roman"/>
          <w:sz w:val="21"/>
          <w:szCs w:val="21"/>
          <w:u w:val="single"/>
          <w:lang w:val="en-ZW"/>
        </w:rPr>
        <w:t xml:space="preserve"> </w:t>
      </w:r>
      <w:r w:rsidRPr="003929DB">
        <w:rPr>
          <w:rFonts w:ascii="Times New Roman" w:hAnsi="Times New Roman" w:cs="Times New Roman"/>
          <w:sz w:val="21"/>
          <w:szCs w:val="21"/>
          <w:u w:val="single"/>
          <w:lang w:val="en-ZW"/>
        </w:rPr>
        <w:t>body corporate and shall in its corporate name be capable of suing and being sued</w:t>
      </w:r>
      <w:r w:rsidRPr="00126164">
        <w:rPr>
          <w:rFonts w:ascii="Times New Roman" w:hAnsi="Times New Roman" w:cs="Times New Roman"/>
          <w:sz w:val="21"/>
          <w:szCs w:val="21"/>
          <w:lang w:val="en-ZW"/>
        </w:rPr>
        <w:t>, of purchasing or</w:t>
      </w:r>
      <w:r w:rsidR="00126164">
        <w:rPr>
          <w:rFonts w:ascii="Times New Roman" w:hAnsi="Times New Roman" w:cs="Times New Roman"/>
          <w:sz w:val="21"/>
          <w:szCs w:val="21"/>
          <w:lang w:val="en-ZW"/>
        </w:rPr>
        <w:t xml:space="preserve"> </w:t>
      </w:r>
      <w:r w:rsidRPr="00126164">
        <w:rPr>
          <w:rFonts w:ascii="Times New Roman" w:hAnsi="Times New Roman" w:cs="Times New Roman"/>
          <w:sz w:val="21"/>
          <w:szCs w:val="21"/>
          <w:lang w:val="en-ZW"/>
        </w:rPr>
        <w:t>otherwise acquiring, holding or alienating property, movable or immovable, and of doing any other act</w:t>
      </w:r>
      <w:r w:rsidR="00126164">
        <w:rPr>
          <w:rFonts w:ascii="Times New Roman" w:hAnsi="Times New Roman" w:cs="Times New Roman"/>
          <w:sz w:val="21"/>
          <w:szCs w:val="21"/>
          <w:lang w:val="en-ZW"/>
        </w:rPr>
        <w:t xml:space="preserve"> </w:t>
      </w:r>
      <w:r w:rsidRPr="00126164">
        <w:rPr>
          <w:rFonts w:ascii="Times New Roman" w:hAnsi="Times New Roman" w:cs="Times New Roman"/>
          <w:sz w:val="21"/>
          <w:szCs w:val="21"/>
          <w:lang w:val="en-ZW"/>
        </w:rPr>
        <w:t>or thing which its constitution requires or permits it to do, or which a body corporate may, by law, do.</w:t>
      </w:r>
      <w:r w:rsidR="00126164">
        <w:rPr>
          <w:rFonts w:ascii="Times New Roman" w:hAnsi="Times New Roman" w:cs="Times New Roman"/>
          <w:sz w:val="21"/>
          <w:szCs w:val="21"/>
          <w:lang w:val="en-ZW"/>
        </w:rPr>
        <w:t>”</w:t>
      </w:r>
      <w:r w:rsidR="003929DB">
        <w:rPr>
          <w:rFonts w:ascii="Times New Roman" w:hAnsi="Times New Roman" w:cs="Times New Roman"/>
          <w:sz w:val="21"/>
          <w:szCs w:val="21"/>
          <w:lang w:val="en-ZW"/>
        </w:rPr>
        <w:t xml:space="preserve"> (Underlining mine for emphasis).</w:t>
      </w:r>
    </w:p>
    <w:p w14:paraId="0FDD7E12" w14:textId="77777777" w:rsidR="003929DB" w:rsidRPr="00126164" w:rsidRDefault="003929DB" w:rsidP="00126164">
      <w:pPr>
        <w:autoSpaceDE w:val="0"/>
        <w:autoSpaceDN w:val="0"/>
        <w:adjustRightInd w:val="0"/>
        <w:spacing w:after="0" w:line="240" w:lineRule="auto"/>
        <w:ind w:left="993" w:hanging="273"/>
        <w:jc w:val="both"/>
        <w:rPr>
          <w:rFonts w:ascii="Times New Roman" w:hAnsi="Times New Roman" w:cs="Times New Roman"/>
          <w:sz w:val="24"/>
          <w:szCs w:val="24"/>
        </w:rPr>
      </w:pPr>
    </w:p>
    <w:p w14:paraId="78396968" w14:textId="5CB00A59" w:rsidR="009C5BE3" w:rsidRDefault="00CC06CD" w:rsidP="00AA30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C06CD">
        <w:rPr>
          <w:rFonts w:ascii="Times New Roman" w:hAnsi="Times New Roman" w:cs="Times New Roman"/>
          <w:i/>
          <w:sz w:val="24"/>
          <w:szCs w:val="24"/>
        </w:rPr>
        <w:t>Magogo</w:t>
      </w:r>
      <w:r>
        <w:rPr>
          <w:rFonts w:ascii="Times New Roman" w:hAnsi="Times New Roman" w:cs="Times New Roman"/>
          <w:sz w:val="24"/>
          <w:szCs w:val="24"/>
        </w:rPr>
        <w:t xml:space="preserve"> argued that the second respondent did not lose its autonomy or identity by virtue of its affiliation to UFAWUZ. </w:t>
      </w:r>
      <w:r w:rsidR="00A1765E">
        <w:rPr>
          <w:rFonts w:ascii="Times New Roman" w:hAnsi="Times New Roman" w:cs="Times New Roman"/>
          <w:sz w:val="24"/>
          <w:szCs w:val="24"/>
        </w:rPr>
        <w:t xml:space="preserve"> </w:t>
      </w:r>
      <w:r>
        <w:rPr>
          <w:rFonts w:ascii="Times New Roman" w:hAnsi="Times New Roman" w:cs="Times New Roman"/>
          <w:sz w:val="24"/>
          <w:szCs w:val="24"/>
        </w:rPr>
        <w:t>Counsel drew the court’s attention to clause 2.3 of the UFAWUZ constitution which states as follows:</w:t>
      </w:r>
    </w:p>
    <w:p w14:paraId="09675838" w14:textId="4C505AE2" w:rsidR="00CC06CD" w:rsidRPr="00CC06CD" w:rsidRDefault="00CC06CD" w:rsidP="00A37CB6">
      <w:pPr>
        <w:spacing w:line="240" w:lineRule="auto"/>
        <w:ind w:left="720"/>
        <w:jc w:val="both"/>
        <w:rPr>
          <w:rFonts w:ascii="Times New Roman" w:hAnsi="Times New Roman" w:cs="Times New Roman"/>
        </w:rPr>
      </w:pPr>
      <w:r w:rsidRPr="00CC06CD">
        <w:rPr>
          <w:rFonts w:ascii="Times New Roman" w:hAnsi="Times New Roman" w:cs="Times New Roman"/>
        </w:rPr>
        <w:t>“Affiliates, including affiliates that are being oriented about the Federation, remain autonomous bodies governed by their own constitution but they must abide by this Constitution and policies of the Federation.”</w:t>
      </w:r>
    </w:p>
    <w:p w14:paraId="624D92F6" w14:textId="4DFCEAC7" w:rsidR="00B3458C" w:rsidRDefault="00CC06CD" w:rsidP="00AE4B24">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Mr </w:t>
      </w:r>
      <w:r w:rsidRPr="00BF4C12">
        <w:rPr>
          <w:rFonts w:ascii="Times New Roman" w:hAnsi="Times New Roman" w:cs="Times New Roman"/>
          <w:i/>
          <w:sz w:val="24"/>
          <w:szCs w:val="24"/>
        </w:rPr>
        <w:t>Magogo</w:t>
      </w:r>
      <w:r>
        <w:rPr>
          <w:rFonts w:ascii="Times New Roman" w:hAnsi="Times New Roman" w:cs="Times New Roman"/>
          <w:sz w:val="24"/>
          <w:szCs w:val="24"/>
        </w:rPr>
        <w:t xml:space="preserve"> further submitted that in light of the above provision, the deponent to the affidavit ought to have produced a resolution by the second respondent granting UFAWUZ authority to represent the second respondent. In the absence of such authority, the second respondent’s attitude to the application was unknown. </w:t>
      </w:r>
      <w:r w:rsidR="00501886">
        <w:rPr>
          <w:rFonts w:ascii="Times New Roman" w:hAnsi="Times New Roman" w:cs="Times New Roman"/>
          <w:sz w:val="24"/>
          <w:szCs w:val="24"/>
        </w:rPr>
        <w:t xml:space="preserve">To support his submissions on the point, counsel cited the cases </w:t>
      </w:r>
      <w:r w:rsidR="00AE4B24">
        <w:rPr>
          <w:rFonts w:ascii="Times New Roman" w:hAnsi="Times New Roman" w:cs="Times New Roman"/>
          <w:sz w:val="24"/>
          <w:szCs w:val="24"/>
        </w:rPr>
        <w:t xml:space="preserve">of </w:t>
      </w:r>
      <w:r w:rsidR="00501886">
        <w:rPr>
          <w:rFonts w:ascii="Times New Roman" w:hAnsi="Times New Roman" w:cs="Times New Roman"/>
          <w:i/>
          <w:iCs/>
          <w:sz w:val="24"/>
          <w:szCs w:val="24"/>
          <w:lang w:val="en-ZW"/>
        </w:rPr>
        <w:t xml:space="preserve">Madzivire &amp; Ors </w:t>
      </w:r>
      <w:r w:rsidR="00501886" w:rsidRPr="008A2D0A">
        <w:rPr>
          <w:rFonts w:ascii="Times New Roman" w:hAnsi="Times New Roman" w:cs="Times New Roman"/>
          <w:iCs/>
          <w:sz w:val="24"/>
          <w:szCs w:val="24"/>
          <w:lang w:val="en-ZW"/>
        </w:rPr>
        <w:t>v</w:t>
      </w:r>
      <w:r w:rsidR="00501886">
        <w:rPr>
          <w:rFonts w:ascii="Times New Roman" w:hAnsi="Times New Roman" w:cs="Times New Roman"/>
          <w:i/>
          <w:iCs/>
          <w:sz w:val="24"/>
          <w:szCs w:val="24"/>
          <w:lang w:val="en-ZW"/>
        </w:rPr>
        <w:t xml:space="preserve"> Zvarivadza &amp; Ors</w:t>
      </w:r>
      <w:r w:rsidR="00501886">
        <w:rPr>
          <w:rStyle w:val="FootnoteReference"/>
          <w:rFonts w:ascii="Times New Roman" w:hAnsi="Times New Roman" w:cs="Times New Roman"/>
          <w:i/>
          <w:iCs/>
          <w:sz w:val="24"/>
          <w:szCs w:val="24"/>
          <w:lang w:val="en-ZW"/>
        </w:rPr>
        <w:footnoteReference w:id="9"/>
      </w:r>
      <w:r w:rsidR="00501886">
        <w:rPr>
          <w:rFonts w:ascii="Times New Roman" w:hAnsi="Times New Roman" w:cs="Times New Roman"/>
          <w:i/>
          <w:iCs/>
          <w:sz w:val="24"/>
          <w:szCs w:val="24"/>
          <w:lang w:val="en-ZW"/>
        </w:rPr>
        <w:t xml:space="preserve"> </w:t>
      </w:r>
      <w:r w:rsidR="00501886">
        <w:rPr>
          <w:rFonts w:ascii="Times New Roman" w:hAnsi="Times New Roman" w:cs="Times New Roman"/>
          <w:sz w:val="24"/>
          <w:szCs w:val="24"/>
          <w:lang w:val="en-ZW"/>
        </w:rPr>
        <w:t xml:space="preserve">and </w:t>
      </w:r>
      <w:r w:rsidR="00501886" w:rsidRPr="00501886">
        <w:rPr>
          <w:rFonts w:ascii="Times New Roman" w:hAnsi="Times New Roman" w:cs="Times New Roman"/>
          <w:i/>
          <w:sz w:val="24"/>
          <w:szCs w:val="24"/>
          <w:lang w:val="en-ZW"/>
        </w:rPr>
        <w:t xml:space="preserve">Dube </w:t>
      </w:r>
      <w:r w:rsidR="00501886" w:rsidRPr="008A2D0A">
        <w:rPr>
          <w:rFonts w:ascii="Times New Roman" w:hAnsi="Times New Roman" w:cs="Times New Roman"/>
          <w:sz w:val="24"/>
          <w:szCs w:val="24"/>
          <w:lang w:val="en-ZW"/>
        </w:rPr>
        <w:t>v</w:t>
      </w:r>
      <w:r w:rsidR="00501886" w:rsidRPr="00501886">
        <w:rPr>
          <w:rFonts w:ascii="Times New Roman" w:hAnsi="Times New Roman" w:cs="Times New Roman"/>
          <w:i/>
          <w:sz w:val="24"/>
          <w:szCs w:val="24"/>
          <w:lang w:val="en-ZW"/>
        </w:rPr>
        <w:t xml:space="preserve"> Premier Service Medical Aid Society &amp; Another</w:t>
      </w:r>
      <w:r w:rsidR="00501886">
        <w:rPr>
          <w:rStyle w:val="FootnoteReference"/>
          <w:rFonts w:ascii="Times New Roman" w:hAnsi="Times New Roman" w:cs="Times New Roman"/>
          <w:i/>
          <w:sz w:val="24"/>
          <w:szCs w:val="24"/>
          <w:lang w:val="en-ZW"/>
        </w:rPr>
        <w:footnoteReference w:id="10"/>
      </w:r>
      <w:r w:rsidR="00B3458C">
        <w:rPr>
          <w:rFonts w:ascii="Times New Roman" w:hAnsi="Times New Roman" w:cs="Times New Roman"/>
          <w:i/>
          <w:sz w:val="24"/>
          <w:szCs w:val="24"/>
          <w:lang w:val="en-ZW"/>
        </w:rPr>
        <w:t xml:space="preserve">. </w:t>
      </w:r>
      <w:r w:rsidR="00B3458C">
        <w:rPr>
          <w:rFonts w:ascii="Times New Roman" w:hAnsi="Times New Roman" w:cs="Times New Roman"/>
          <w:sz w:val="24"/>
          <w:szCs w:val="24"/>
          <w:lang w:val="en-ZW"/>
        </w:rPr>
        <w:t xml:space="preserve">In the </w:t>
      </w:r>
      <w:r w:rsidR="00B3458C" w:rsidRPr="00B3458C">
        <w:rPr>
          <w:rFonts w:ascii="Times New Roman" w:hAnsi="Times New Roman" w:cs="Times New Roman"/>
          <w:i/>
          <w:sz w:val="24"/>
          <w:szCs w:val="24"/>
          <w:lang w:val="en-ZW"/>
        </w:rPr>
        <w:t>Dube</w:t>
      </w:r>
      <w:r w:rsidR="00B3458C">
        <w:rPr>
          <w:rFonts w:ascii="Times New Roman" w:hAnsi="Times New Roman" w:cs="Times New Roman"/>
          <w:sz w:val="24"/>
          <w:szCs w:val="24"/>
          <w:lang w:val="en-ZW"/>
        </w:rPr>
        <w:t xml:space="preserve"> case, the court followed the </w:t>
      </w:r>
      <w:r w:rsidR="00B3458C" w:rsidRPr="00B3458C">
        <w:rPr>
          <w:rFonts w:ascii="Times New Roman" w:hAnsi="Times New Roman" w:cs="Times New Roman"/>
          <w:i/>
          <w:sz w:val="24"/>
          <w:szCs w:val="24"/>
          <w:lang w:val="en-ZW"/>
        </w:rPr>
        <w:t>ratio decidend</w:t>
      </w:r>
      <w:r w:rsidR="00B3458C">
        <w:rPr>
          <w:rFonts w:ascii="Times New Roman" w:hAnsi="Times New Roman" w:cs="Times New Roman"/>
          <w:i/>
          <w:sz w:val="24"/>
          <w:szCs w:val="24"/>
          <w:lang w:val="en-ZW"/>
        </w:rPr>
        <w:t>i</w:t>
      </w:r>
      <w:r w:rsidR="00B3458C">
        <w:rPr>
          <w:rFonts w:ascii="Times New Roman" w:hAnsi="Times New Roman" w:cs="Times New Roman"/>
          <w:sz w:val="24"/>
          <w:szCs w:val="24"/>
          <w:lang w:val="en-ZW"/>
        </w:rPr>
        <w:t xml:space="preserve"> in the </w:t>
      </w:r>
      <w:r w:rsidR="00B3458C" w:rsidRPr="00B3458C">
        <w:rPr>
          <w:rFonts w:ascii="Times New Roman" w:hAnsi="Times New Roman" w:cs="Times New Roman"/>
          <w:i/>
          <w:sz w:val="24"/>
          <w:szCs w:val="24"/>
          <w:lang w:val="en-ZW"/>
        </w:rPr>
        <w:t xml:space="preserve">Madzivire &amp; Ors </w:t>
      </w:r>
      <w:r w:rsidR="00B3458C" w:rsidRPr="008A2D0A">
        <w:rPr>
          <w:rFonts w:ascii="Times New Roman" w:hAnsi="Times New Roman" w:cs="Times New Roman"/>
          <w:sz w:val="24"/>
          <w:szCs w:val="24"/>
          <w:lang w:val="en-ZW"/>
        </w:rPr>
        <w:t xml:space="preserve">v </w:t>
      </w:r>
      <w:r w:rsidR="00B3458C" w:rsidRPr="00B3458C">
        <w:rPr>
          <w:rFonts w:ascii="Times New Roman" w:hAnsi="Times New Roman" w:cs="Times New Roman"/>
          <w:i/>
          <w:sz w:val="24"/>
          <w:szCs w:val="24"/>
          <w:lang w:val="en-ZW"/>
        </w:rPr>
        <w:t>Zvarivadza &amp; Ors</w:t>
      </w:r>
      <w:r w:rsidR="00B3458C">
        <w:rPr>
          <w:rFonts w:ascii="Times New Roman" w:hAnsi="Times New Roman" w:cs="Times New Roman"/>
          <w:sz w:val="24"/>
          <w:szCs w:val="24"/>
          <w:lang w:val="en-ZW"/>
        </w:rPr>
        <w:t xml:space="preserve"> judgment where the court said:</w:t>
      </w:r>
    </w:p>
    <w:p w14:paraId="766DDEC9" w14:textId="7DAA6EF5" w:rsidR="00501886" w:rsidRPr="00B3458C" w:rsidRDefault="00B3458C" w:rsidP="00AE4B24">
      <w:pPr>
        <w:autoSpaceDE w:val="0"/>
        <w:autoSpaceDN w:val="0"/>
        <w:adjustRightInd w:val="0"/>
        <w:spacing w:line="240" w:lineRule="auto"/>
        <w:ind w:left="720"/>
        <w:jc w:val="both"/>
        <w:rPr>
          <w:rFonts w:ascii="Times New Roman" w:hAnsi="Times New Roman" w:cs="Times New Roman"/>
        </w:rPr>
      </w:pPr>
      <w:r w:rsidRPr="00B3458C">
        <w:rPr>
          <w:rFonts w:ascii="Times New Roman" w:hAnsi="Times New Roman" w:cs="Times New Roman"/>
          <w:lang w:val="en-ZW"/>
        </w:rPr>
        <w:t>“A company, being a separate legal person from its directors, cannot be represented in</w:t>
      </w:r>
      <w:r>
        <w:rPr>
          <w:rFonts w:ascii="Times New Roman" w:hAnsi="Times New Roman" w:cs="Times New Roman"/>
          <w:lang w:val="en-ZW"/>
        </w:rPr>
        <w:t xml:space="preserve"> </w:t>
      </w:r>
      <w:r w:rsidRPr="00B3458C">
        <w:rPr>
          <w:rFonts w:ascii="Times New Roman" w:hAnsi="Times New Roman" w:cs="Times New Roman"/>
          <w:lang w:val="en-ZW"/>
        </w:rPr>
        <w:t xml:space="preserve">a legal suit by a person who has not been authorised to do so. This is a </w:t>
      </w:r>
      <w:r w:rsidR="00F718AB" w:rsidRPr="00B3458C">
        <w:rPr>
          <w:rFonts w:ascii="Times New Roman" w:hAnsi="Times New Roman" w:cs="Times New Roman"/>
          <w:lang w:val="en-ZW"/>
        </w:rPr>
        <w:t>well-established</w:t>
      </w:r>
      <w:r>
        <w:rPr>
          <w:rFonts w:ascii="Times New Roman" w:hAnsi="Times New Roman" w:cs="Times New Roman"/>
          <w:lang w:val="en-ZW"/>
        </w:rPr>
        <w:t xml:space="preserve"> </w:t>
      </w:r>
      <w:r w:rsidRPr="00B3458C">
        <w:rPr>
          <w:rFonts w:ascii="Times New Roman" w:hAnsi="Times New Roman" w:cs="Times New Roman"/>
          <w:lang w:val="en-ZW"/>
        </w:rPr>
        <w:t>legal principle, which the courts cannot be ignored. It does not depend on the pleadings</w:t>
      </w:r>
      <w:r>
        <w:rPr>
          <w:rFonts w:ascii="Times New Roman" w:hAnsi="Times New Roman" w:cs="Times New Roman"/>
          <w:lang w:val="en-ZW"/>
        </w:rPr>
        <w:t xml:space="preserve"> </w:t>
      </w:r>
      <w:r w:rsidRPr="00B3458C">
        <w:rPr>
          <w:rFonts w:ascii="Times New Roman" w:hAnsi="Times New Roman" w:cs="Times New Roman"/>
          <w:lang w:val="en-ZW"/>
        </w:rPr>
        <w:t>by either party. The fact that the person is the managing director of the company does</w:t>
      </w:r>
      <w:r>
        <w:rPr>
          <w:rFonts w:ascii="Times New Roman" w:hAnsi="Times New Roman" w:cs="Times New Roman"/>
          <w:lang w:val="en-ZW"/>
        </w:rPr>
        <w:t xml:space="preserve"> </w:t>
      </w:r>
      <w:r w:rsidRPr="00B3458C">
        <w:rPr>
          <w:rFonts w:ascii="Times New Roman" w:hAnsi="Times New Roman" w:cs="Times New Roman"/>
          <w:lang w:val="en-ZW"/>
        </w:rPr>
        <w:t>not clothe him with the authority to sue on behalf of the company in the absence of any</w:t>
      </w:r>
      <w:r>
        <w:rPr>
          <w:rFonts w:ascii="Times New Roman" w:hAnsi="Times New Roman" w:cs="Times New Roman"/>
          <w:lang w:val="en-ZW"/>
        </w:rPr>
        <w:t xml:space="preserve"> </w:t>
      </w:r>
      <w:r w:rsidRPr="00B3458C">
        <w:rPr>
          <w:rFonts w:ascii="Times New Roman" w:hAnsi="Times New Roman" w:cs="Times New Roman"/>
          <w:lang w:val="en-ZW"/>
        </w:rPr>
        <w:t>resolution authorising him to do so. The general rule is that directors of a company can</w:t>
      </w:r>
      <w:r>
        <w:rPr>
          <w:rFonts w:ascii="Times New Roman" w:hAnsi="Times New Roman" w:cs="Times New Roman"/>
          <w:lang w:val="en-ZW"/>
        </w:rPr>
        <w:t xml:space="preserve"> </w:t>
      </w:r>
      <w:r w:rsidRPr="00B3458C">
        <w:rPr>
          <w:rFonts w:ascii="Times New Roman" w:hAnsi="Times New Roman" w:cs="Times New Roman"/>
          <w:lang w:val="en-ZW"/>
        </w:rPr>
        <w:t>only act validly when assembled at a board meeting. As exception to this rule is where</w:t>
      </w:r>
      <w:r>
        <w:rPr>
          <w:rFonts w:ascii="Times New Roman" w:hAnsi="Times New Roman" w:cs="Times New Roman"/>
          <w:lang w:val="en-ZW"/>
        </w:rPr>
        <w:t xml:space="preserve"> </w:t>
      </w:r>
      <w:r w:rsidRPr="00B3458C">
        <w:rPr>
          <w:rFonts w:ascii="Times New Roman" w:hAnsi="Times New Roman" w:cs="Times New Roman"/>
          <w:lang w:val="en-ZW"/>
        </w:rPr>
        <w:t>a company has only one director who can perform all judicial acts without holding a</w:t>
      </w:r>
      <w:r>
        <w:rPr>
          <w:rFonts w:ascii="Times New Roman" w:hAnsi="Times New Roman" w:cs="Times New Roman"/>
          <w:lang w:val="en-ZW"/>
        </w:rPr>
        <w:t xml:space="preserve"> </w:t>
      </w:r>
      <w:r w:rsidRPr="00B3458C">
        <w:rPr>
          <w:rFonts w:ascii="Times New Roman" w:hAnsi="Times New Roman" w:cs="Times New Roman"/>
          <w:lang w:val="en-ZW"/>
        </w:rPr>
        <w:t xml:space="preserve">full meeting.” </w:t>
      </w:r>
    </w:p>
    <w:p w14:paraId="53CBAFF5" w14:textId="6B23003B" w:rsidR="00B3458C" w:rsidRDefault="00B3458C" w:rsidP="00AE4B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third respondent, Mr </w:t>
      </w:r>
      <w:r w:rsidRPr="00B3458C">
        <w:rPr>
          <w:rFonts w:ascii="Times New Roman" w:hAnsi="Times New Roman" w:cs="Times New Roman"/>
          <w:i/>
          <w:sz w:val="24"/>
          <w:szCs w:val="24"/>
        </w:rPr>
        <w:t>Magogo</w:t>
      </w:r>
      <w:r>
        <w:rPr>
          <w:rFonts w:ascii="Times New Roman" w:hAnsi="Times New Roman" w:cs="Times New Roman"/>
          <w:sz w:val="24"/>
          <w:szCs w:val="24"/>
        </w:rPr>
        <w:t xml:space="preserve"> submitted that the General Secretary who deposed to the opposing affidavit </w:t>
      </w:r>
      <w:r w:rsidR="00E32EE3">
        <w:rPr>
          <w:rFonts w:ascii="Times New Roman" w:hAnsi="Times New Roman" w:cs="Times New Roman"/>
          <w:sz w:val="24"/>
          <w:szCs w:val="24"/>
        </w:rPr>
        <w:t xml:space="preserve">needed to attach a resolution of the third respondent’s Council to confirm his authority to represent the third respondent. That council was made up </w:t>
      </w:r>
      <w:r w:rsidR="001029AF">
        <w:rPr>
          <w:rFonts w:ascii="Times New Roman" w:hAnsi="Times New Roman" w:cs="Times New Roman"/>
          <w:sz w:val="24"/>
          <w:szCs w:val="24"/>
        </w:rPr>
        <w:t>of</w:t>
      </w:r>
      <w:r w:rsidR="00E32EE3">
        <w:rPr>
          <w:rFonts w:ascii="Times New Roman" w:hAnsi="Times New Roman" w:cs="Times New Roman"/>
          <w:sz w:val="24"/>
          <w:szCs w:val="24"/>
        </w:rPr>
        <w:t xml:space="preserve"> representatives of the applicant, first and second respondents. Counsel submitted that the council was the </w:t>
      </w:r>
      <w:r w:rsidR="004369F6">
        <w:rPr>
          <w:rFonts w:ascii="Times New Roman" w:hAnsi="Times New Roman" w:cs="Times New Roman"/>
          <w:sz w:val="24"/>
          <w:szCs w:val="24"/>
        </w:rPr>
        <w:t xml:space="preserve">ultimate authority in making a decision whether or not to oppose the application. On the strength of the </w:t>
      </w:r>
      <w:r w:rsidR="004369F6" w:rsidRPr="004369F6">
        <w:rPr>
          <w:rFonts w:ascii="Times New Roman" w:hAnsi="Times New Roman" w:cs="Times New Roman"/>
          <w:i/>
          <w:sz w:val="24"/>
          <w:szCs w:val="24"/>
        </w:rPr>
        <w:t xml:space="preserve">Madzivire </w:t>
      </w:r>
      <w:r w:rsidR="004369F6">
        <w:rPr>
          <w:rFonts w:ascii="Times New Roman" w:hAnsi="Times New Roman" w:cs="Times New Roman"/>
          <w:sz w:val="24"/>
          <w:szCs w:val="24"/>
        </w:rPr>
        <w:t xml:space="preserve">and the </w:t>
      </w:r>
      <w:r w:rsidR="004369F6" w:rsidRPr="004369F6">
        <w:rPr>
          <w:rFonts w:ascii="Times New Roman" w:hAnsi="Times New Roman" w:cs="Times New Roman"/>
          <w:i/>
          <w:sz w:val="24"/>
          <w:szCs w:val="24"/>
        </w:rPr>
        <w:t>Dube</w:t>
      </w:r>
      <w:r w:rsidR="004369F6">
        <w:rPr>
          <w:rFonts w:ascii="Times New Roman" w:hAnsi="Times New Roman" w:cs="Times New Roman"/>
          <w:sz w:val="24"/>
          <w:szCs w:val="24"/>
        </w:rPr>
        <w:t xml:space="preserve"> cases, counsel submitted that it was incumbent upon the </w:t>
      </w:r>
      <w:r w:rsidR="00E7408C">
        <w:rPr>
          <w:rFonts w:ascii="Times New Roman" w:hAnsi="Times New Roman" w:cs="Times New Roman"/>
          <w:sz w:val="24"/>
          <w:szCs w:val="24"/>
        </w:rPr>
        <w:t>deponent t</w:t>
      </w:r>
      <w:r w:rsidR="004369F6">
        <w:rPr>
          <w:rFonts w:ascii="Times New Roman" w:hAnsi="Times New Roman" w:cs="Times New Roman"/>
          <w:sz w:val="24"/>
          <w:szCs w:val="24"/>
        </w:rPr>
        <w:t xml:space="preserve">o furnish </w:t>
      </w:r>
      <w:r w:rsidR="00E7408C">
        <w:rPr>
          <w:rFonts w:ascii="Times New Roman" w:hAnsi="Times New Roman" w:cs="Times New Roman"/>
          <w:sz w:val="24"/>
          <w:szCs w:val="24"/>
        </w:rPr>
        <w:t xml:space="preserve">the court with the authority to represent the third respondent. </w:t>
      </w:r>
    </w:p>
    <w:p w14:paraId="71F3A8A0" w14:textId="536910CC" w:rsidR="00393171" w:rsidRDefault="00393171" w:rsidP="00B34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response on behalf of the second respondent, Mr </w:t>
      </w:r>
      <w:r w:rsidRPr="00393171">
        <w:rPr>
          <w:rFonts w:ascii="Times New Roman" w:hAnsi="Times New Roman" w:cs="Times New Roman"/>
          <w:i/>
          <w:sz w:val="24"/>
          <w:szCs w:val="24"/>
        </w:rPr>
        <w:t>Madhuku</w:t>
      </w:r>
      <w:r>
        <w:rPr>
          <w:rFonts w:ascii="Times New Roman" w:hAnsi="Times New Roman" w:cs="Times New Roman"/>
          <w:sz w:val="24"/>
          <w:szCs w:val="24"/>
        </w:rPr>
        <w:t xml:space="preserve"> submitted that sections 27 and 29 of the Act had liberalized the rights of trade unions to legal representation. A trade union could surrender its rights of defence and representation in legal proceedings. That was the reason why the Act had gone out of its w</w:t>
      </w:r>
      <w:r w:rsidR="00AE4B24">
        <w:rPr>
          <w:rFonts w:ascii="Times New Roman" w:hAnsi="Times New Roman" w:cs="Times New Roman"/>
          <w:sz w:val="24"/>
          <w:szCs w:val="24"/>
        </w:rPr>
        <w:t xml:space="preserve">ay to create </w:t>
      </w:r>
      <w:r>
        <w:rPr>
          <w:rFonts w:ascii="Times New Roman" w:hAnsi="Times New Roman" w:cs="Times New Roman"/>
          <w:sz w:val="24"/>
          <w:szCs w:val="24"/>
        </w:rPr>
        <w:t xml:space="preserve">an institution called a federation. </w:t>
      </w:r>
      <w:r w:rsidR="001029AF">
        <w:rPr>
          <w:rFonts w:ascii="Times New Roman" w:hAnsi="Times New Roman" w:cs="Times New Roman"/>
          <w:sz w:val="24"/>
          <w:szCs w:val="24"/>
        </w:rPr>
        <w:t xml:space="preserve">Counsel referred to the case of </w:t>
      </w:r>
      <w:r w:rsidR="001029AF" w:rsidRPr="001029AF">
        <w:rPr>
          <w:rFonts w:ascii="Times New Roman" w:hAnsi="Times New Roman" w:cs="Times New Roman"/>
          <w:i/>
          <w:sz w:val="24"/>
          <w:szCs w:val="24"/>
        </w:rPr>
        <w:t>Baking and Allied Workers Union &amp; Four Others v National Employment Council for Food and Allied Industries and Seven Others</w:t>
      </w:r>
      <w:r w:rsidR="001029AF">
        <w:rPr>
          <w:rStyle w:val="FootnoteReference"/>
          <w:rFonts w:ascii="Times New Roman" w:hAnsi="Times New Roman" w:cs="Times New Roman"/>
          <w:i/>
          <w:sz w:val="24"/>
          <w:szCs w:val="24"/>
        </w:rPr>
        <w:footnoteReference w:id="11"/>
      </w:r>
      <w:r w:rsidR="001029AF">
        <w:rPr>
          <w:rFonts w:ascii="Times New Roman" w:hAnsi="Times New Roman" w:cs="Times New Roman"/>
          <w:i/>
          <w:sz w:val="24"/>
          <w:szCs w:val="24"/>
        </w:rPr>
        <w:t xml:space="preserve">, </w:t>
      </w:r>
      <w:r w:rsidR="001029AF">
        <w:rPr>
          <w:rFonts w:ascii="Times New Roman" w:hAnsi="Times New Roman" w:cs="Times New Roman"/>
          <w:sz w:val="24"/>
          <w:szCs w:val="24"/>
        </w:rPr>
        <w:t xml:space="preserve">where the court determined that it was proper for a federation to represent its </w:t>
      </w:r>
      <w:r w:rsidR="00A37CB6">
        <w:rPr>
          <w:rFonts w:ascii="Times New Roman" w:hAnsi="Times New Roman" w:cs="Times New Roman"/>
          <w:sz w:val="24"/>
          <w:szCs w:val="24"/>
        </w:rPr>
        <w:t xml:space="preserve">trade union </w:t>
      </w:r>
      <w:r w:rsidR="001029AF">
        <w:rPr>
          <w:rFonts w:ascii="Times New Roman" w:hAnsi="Times New Roman" w:cs="Times New Roman"/>
          <w:sz w:val="24"/>
          <w:szCs w:val="24"/>
        </w:rPr>
        <w:t>member</w:t>
      </w:r>
      <w:r w:rsidR="00A37CB6">
        <w:rPr>
          <w:rFonts w:ascii="Times New Roman" w:hAnsi="Times New Roman" w:cs="Times New Roman"/>
          <w:sz w:val="24"/>
          <w:szCs w:val="24"/>
        </w:rPr>
        <w:t>s</w:t>
      </w:r>
      <w:r w:rsidR="001029AF">
        <w:rPr>
          <w:rFonts w:ascii="Times New Roman" w:hAnsi="Times New Roman" w:cs="Times New Roman"/>
          <w:sz w:val="24"/>
          <w:szCs w:val="24"/>
        </w:rPr>
        <w:t xml:space="preserve">. </w:t>
      </w:r>
    </w:p>
    <w:p w14:paraId="22855BE7" w14:textId="21A8ED69" w:rsidR="001029AF" w:rsidRPr="001924C8" w:rsidRDefault="001029AF" w:rsidP="00B34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24C8">
        <w:rPr>
          <w:rFonts w:ascii="Times New Roman" w:hAnsi="Times New Roman" w:cs="Times New Roman"/>
          <w:sz w:val="24"/>
          <w:szCs w:val="24"/>
        </w:rPr>
        <w:t xml:space="preserve">Mr </w:t>
      </w:r>
      <w:r w:rsidRPr="001924C8">
        <w:rPr>
          <w:rFonts w:ascii="Times New Roman" w:hAnsi="Times New Roman" w:cs="Times New Roman"/>
          <w:i/>
          <w:sz w:val="24"/>
          <w:szCs w:val="24"/>
        </w:rPr>
        <w:t>Madhuku</w:t>
      </w:r>
      <w:r w:rsidRPr="001924C8">
        <w:rPr>
          <w:rFonts w:ascii="Times New Roman" w:hAnsi="Times New Roman" w:cs="Times New Roman"/>
          <w:sz w:val="24"/>
          <w:szCs w:val="24"/>
        </w:rPr>
        <w:t xml:space="preserve"> further submitted that a notice of opposition need not be deposed by an official of the second respondent. He submitted that the applicant was raising a technical objection w</w:t>
      </w:r>
      <w:r w:rsidR="001924C8" w:rsidRPr="001924C8">
        <w:rPr>
          <w:rFonts w:ascii="Times New Roman" w:hAnsi="Times New Roman" w:cs="Times New Roman"/>
          <w:sz w:val="24"/>
          <w:szCs w:val="24"/>
        </w:rPr>
        <w:t>ith no merit</w:t>
      </w:r>
      <w:r w:rsidRPr="001924C8">
        <w:rPr>
          <w:rFonts w:ascii="Times New Roman" w:hAnsi="Times New Roman" w:cs="Times New Roman"/>
          <w:sz w:val="24"/>
          <w:szCs w:val="24"/>
        </w:rPr>
        <w:t>. He referred to r 58(4)(a) of the High Court Rules which provides that:</w:t>
      </w:r>
    </w:p>
    <w:p w14:paraId="26075CB7" w14:textId="5F67CF56" w:rsidR="00AC57BD" w:rsidRPr="001924C8" w:rsidRDefault="00AC57BD" w:rsidP="00520FC3">
      <w:pPr>
        <w:autoSpaceDE w:val="0"/>
        <w:autoSpaceDN w:val="0"/>
        <w:adjustRightInd w:val="0"/>
        <w:spacing w:after="0" w:line="240" w:lineRule="auto"/>
        <w:jc w:val="both"/>
        <w:rPr>
          <w:rFonts w:ascii="Times New Roman" w:hAnsi="Times New Roman" w:cs="Times New Roman"/>
          <w:sz w:val="21"/>
          <w:szCs w:val="21"/>
          <w:lang w:val="en-ZW"/>
        </w:rPr>
      </w:pPr>
      <w:r w:rsidRPr="001924C8">
        <w:rPr>
          <w:rFonts w:ascii="Times New Roman" w:hAnsi="Times New Roman" w:cs="Times New Roman"/>
          <w:sz w:val="24"/>
          <w:szCs w:val="24"/>
        </w:rPr>
        <w:tab/>
      </w:r>
      <w:r w:rsidR="001924C8">
        <w:rPr>
          <w:rFonts w:ascii="Times New Roman" w:hAnsi="Times New Roman" w:cs="Times New Roman"/>
          <w:sz w:val="24"/>
          <w:szCs w:val="24"/>
        </w:rPr>
        <w:t>“</w:t>
      </w:r>
      <w:r w:rsidRPr="001924C8">
        <w:rPr>
          <w:rFonts w:ascii="Times New Roman" w:hAnsi="Times New Roman" w:cs="Times New Roman"/>
          <w:sz w:val="21"/>
          <w:szCs w:val="21"/>
          <w:lang w:val="en-ZW"/>
        </w:rPr>
        <w:t>(4) An affidavit filed with a written application—</w:t>
      </w:r>
    </w:p>
    <w:p w14:paraId="5DFD918F" w14:textId="5DD91DA8" w:rsidR="00AC57BD" w:rsidRPr="001924C8" w:rsidRDefault="00AC57BD" w:rsidP="00520FC3">
      <w:pPr>
        <w:autoSpaceDE w:val="0"/>
        <w:autoSpaceDN w:val="0"/>
        <w:adjustRightInd w:val="0"/>
        <w:spacing w:after="0" w:line="240" w:lineRule="auto"/>
        <w:ind w:left="720"/>
        <w:jc w:val="both"/>
        <w:rPr>
          <w:rFonts w:ascii="Times New Roman" w:hAnsi="Times New Roman" w:cs="Times New Roman"/>
          <w:sz w:val="21"/>
          <w:szCs w:val="21"/>
          <w:lang w:val="en-ZW"/>
        </w:rPr>
      </w:pPr>
      <w:r w:rsidRPr="001924C8">
        <w:rPr>
          <w:rFonts w:ascii="Times New Roman" w:hAnsi="Times New Roman" w:cs="Times New Roman"/>
          <w:sz w:val="21"/>
          <w:szCs w:val="21"/>
          <w:lang w:val="en-ZW"/>
        </w:rPr>
        <w:t>(</w:t>
      </w:r>
      <w:r w:rsidRPr="001924C8">
        <w:rPr>
          <w:rFonts w:ascii="Times New Roman" w:hAnsi="Times New Roman" w:cs="Times New Roman"/>
          <w:i/>
          <w:iCs/>
          <w:sz w:val="21"/>
          <w:szCs w:val="21"/>
          <w:lang w:val="en-ZW"/>
        </w:rPr>
        <w:t>a</w:t>
      </w:r>
      <w:r w:rsidRPr="001924C8">
        <w:rPr>
          <w:rFonts w:ascii="Times New Roman" w:hAnsi="Times New Roman" w:cs="Times New Roman"/>
          <w:sz w:val="21"/>
          <w:szCs w:val="21"/>
          <w:lang w:val="en-ZW"/>
        </w:rPr>
        <w:t>) shall be made by the applicant or respondent, as the case may be, or by a person who can swear to the facts or averments set out in therein; and</w:t>
      </w:r>
    </w:p>
    <w:p w14:paraId="3FDBF20F" w14:textId="73F2E6CC" w:rsidR="00AC57BD" w:rsidRDefault="00AC57BD" w:rsidP="00520FC3">
      <w:pPr>
        <w:autoSpaceDE w:val="0"/>
        <w:autoSpaceDN w:val="0"/>
        <w:adjustRightInd w:val="0"/>
        <w:spacing w:after="0" w:line="240" w:lineRule="auto"/>
        <w:ind w:left="720"/>
        <w:jc w:val="both"/>
        <w:rPr>
          <w:rFonts w:ascii="Times New Roman" w:hAnsi="Times New Roman" w:cs="Times New Roman"/>
          <w:sz w:val="21"/>
          <w:szCs w:val="21"/>
          <w:lang w:val="en-ZW"/>
        </w:rPr>
      </w:pPr>
      <w:r w:rsidRPr="001924C8">
        <w:rPr>
          <w:rFonts w:ascii="Times New Roman" w:hAnsi="Times New Roman" w:cs="Times New Roman"/>
          <w:sz w:val="21"/>
          <w:szCs w:val="21"/>
          <w:lang w:val="en-ZW"/>
        </w:rPr>
        <w:t>(</w:t>
      </w:r>
      <w:r w:rsidRPr="001924C8">
        <w:rPr>
          <w:rFonts w:ascii="Times New Roman" w:hAnsi="Times New Roman" w:cs="Times New Roman"/>
          <w:i/>
          <w:iCs/>
          <w:sz w:val="21"/>
          <w:szCs w:val="21"/>
          <w:lang w:val="en-ZW"/>
        </w:rPr>
        <w:t>b</w:t>
      </w:r>
      <w:r w:rsidRPr="001924C8">
        <w:rPr>
          <w:rFonts w:ascii="Times New Roman" w:hAnsi="Times New Roman" w:cs="Times New Roman"/>
          <w:sz w:val="21"/>
          <w:szCs w:val="21"/>
          <w:lang w:val="en-ZW"/>
        </w:rPr>
        <w:t xml:space="preserve">) may be accompanied by documents verifying the facts or averments set out in the affidavit, and any reference in this </w:t>
      </w:r>
      <w:r w:rsidR="001924C8" w:rsidRPr="001924C8">
        <w:rPr>
          <w:rFonts w:ascii="Times New Roman" w:hAnsi="Times New Roman" w:cs="Times New Roman"/>
          <w:sz w:val="21"/>
          <w:szCs w:val="21"/>
          <w:lang w:val="en-ZW"/>
        </w:rPr>
        <w:t xml:space="preserve">Part </w:t>
      </w:r>
      <w:r w:rsidRPr="001924C8">
        <w:rPr>
          <w:rFonts w:ascii="Times New Roman" w:hAnsi="Times New Roman" w:cs="Times New Roman"/>
          <w:sz w:val="21"/>
          <w:szCs w:val="21"/>
          <w:lang w:val="en-ZW"/>
        </w:rPr>
        <w:t>to an affidavit shall be construed as including such documents.</w:t>
      </w:r>
      <w:r w:rsidR="001924C8">
        <w:rPr>
          <w:rFonts w:ascii="Times New Roman" w:hAnsi="Times New Roman" w:cs="Times New Roman"/>
          <w:sz w:val="21"/>
          <w:szCs w:val="21"/>
          <w:lang w:val="en-ZW"/>
        </w:rPr>
        <w:t>”</w:t>
      </w:r>
    </w:p>
    <w:p w14:paraId="6468B570" w14:textId="77777777" w:rsidR="00520FC3" w:rsidRDefault="00520FC3" w:rsidP="00AC57BD">
      <w:pPr>
        <w:autoSpaceDE w:val="0"/>
        <w:autoSpaceDN w:val="0"/>
        <w:adjustRightInd w:val="0"/>
        <w:spacing w:after="0" w:line="240" w:lineRule="auto"/>
        <w:ind w:left="720"/>
        <w:rPr>
          <w:rFonts w:ascii="Times New Roman" w:hAnsi="Times New Roman" w:cs="Times New Roman"/>
          <w:sz w:val="21"/>
          <w:szCs w:val="21"/>
          <w:lang w:val="en-ZW"/>
        </w:rPr>
      </w:pPr>
    </w:p>
    <w:p w14:paraId="7874DF58" w14:textId="22F289AE" w:rsidR="001029AF" w:rsidRDefault="001029AF" w:rsidP="00B3458C">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9503BD">
        <w:rPr>
          <w:rFonts w:ascii="Times New Roman" w:hAnsi="Times New Roman" w:cs="Times New Roman"/>
          <w:sz w:val="24"/>
          <w:szCs w:val="24"/>
        </w:rPr>
        <w:t xml:space="preserve">In her response, Ms </w:t>
      </w:r>
      <w:r w:rsidR="009503BD" w:rsidRPr="009503BD">
        <w:rPr>
          <w:rFonts w:ascii="Times New Roman" w:hAnsi="Times New Roman" w:cs="Times New Roman"/>
          <w:i/>
          <w:sz w:val="24"/>
          <w:szCs w:val="24"/>
        </w:rPr>
        <w:t>Sande</w:t>
      </w:r>
      <w:r w:rsidR="009503BD">
        <w:rPr>
          <w:rFonts w:ascii="Times New Roman" w:hAnsi="Times New Roman" w:cs="Times New Roman"/>
          <w:sz w:val="24"/>
          <w:szCs w:val="24"/>
        </w:rPr>
        <w:t xml:space="preserve"> for the third respondent submitted that no resolution was attached </w:t>
      </w:r>
      <w:r w:rsidR="001924C8">
        <w:rPr>
          <w:rFonts w:ascii="Times New Roman" w:hAnsi="Times New Roman" w:cs="Times New Roman"/>
          <w:sz w:val="24"/>
          <w:szCs w:val="24"/>
        </w:rPr>
        <w:t xml:space="preserve">to the third respondent’s affidavit </w:t>
      </w:r>
      <w:r w:rsidR="009503BD">
        <w:rPr>
          <w:rFonts w:ascii="Times New Roman" w:hAnsi="Times New Roman" w:cs="Times New Roman"/>
          <w:sz w:val="24"/>
          <w:szCs w:val="24"/>
        </w:rPr>
        <w:t>because the deponent derived his authority from the constitution. She referred to clause 7.3 of the third respondent’s constitution which provides as follows:</w:t>
      </w:r>
    </w:p>
    <w:p w14:paraId="1407663E" w14:textId="5B9FC0D7" w:rsidR="009503BD" w:rsidRDefault="009503BD" w:rsidP="008D06A3">
      <w:pPr>
        <w:spacing w:after="0" w:line="240" w:lineRule="auto"/>
        <w:ind w:left="720"/>
        <w:jc w:val="both"/>
        <w:rPr>
          <w:rFonts w:ascii="Times New Roman" w:hAnsi="Times New Roman" w:cs="Times New Roman"/>
        </w:rPr>
      </w:pPr>
      <w:r w:rsidRPr="008D06A3">
        <w:rPr>
          <w:rFonts w:ascii="Times New Roman" w:hAnsi="Times New Roman" w:cs="Times New Roman"/>
        </w:rPr>
        <w:t xml:space="preserve">“Whenever the exigencies of council business on a day to day </w:t>
      </w:r>
      <w:r w:rsidR="008D06A3" w:rsidRPr="008D06A3">
        <w:rPr>
          <w:rFonts w:ascii="Times New Roman" w:hAnsi="Times New Roman" w:cs="Times New Roman"/>
        </w:rPr>
        <w:t>basis demands, the General Secretary shall, make decisions necessary in the day to day administration of council affairs provided that such decisions shall be ratified in the meetings of the Executive Committee.”</w:t>
      </w:r>
      <w:r w:rsidR="00FA4AE1">
        <w:rPr>
          <w:rStyle w:val="FootnoteReference"/>
          <w:rFonts w:ascii="Times New Roman" w:hAnsi="Times New Roman" w:cs="Times New Roman"/>
        </w:rPr>
        <w:footnoteReference w:id="12"/>
      </w:r>
    </w:p>
    <w:p w14:paraId="5FEB1D15" w14:textId="77777777" w:rsidR="003B462C" w:rsidRPr="008D06A3" w:rsidRDefault="003B462C" w:rsidP="008D06A3">
      <w:pPr>
        <w:spacing w:after="0" w:line="240" w:lineRule="auto"/>
        <w:ind w:left="720"/>
        <w:jc w:val="both"/>
        <w:rPr>
          <w:rFonts w:ascii="Times New Roman" w:hAnsi="Times New Roman" w:cs="Times New Roman"/>
        </w:rPr>
      </w:pPr>
    </w:p>
    <w:p w14:paraId="7BAA5134" w14:textId="0D6E39B0" w:rsidR="00F43CAF" w:rsidRDefault="003B462C" w:rsidP="00AA30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submitted that the urgency of litigation matters necessitated that the General </w:t>
      </w:r>
      <w:r w:rsidR="00520FC3">
        <w:rPr>
          <w:rFonts w:ascii="Times New Roman" w:hAnsi="Times New Roman" w:cs="Times New Roman"/>
          <w:sz w:val="24"/>
          <w:szCs w:val="24"/>
        </w:rPr>
        <w:t>Secretary</w:t>
      </w:r>
      <w:r>
        <w:rPr>
          <w:rFonts w:ascii="Times New Roman" w:hAnsi="Times New Roman" w:cs="Times New Roman"/>
          <w:sz w:val="24"/>
          <w:szCs w:val="24"/>
        </w:rPr>
        <w:t xml:space="preserve"> be accorded such powers as the convening of Executive Committee meetings would delay the taking of decisions on such urgent matters. Ms </w:t>
      </w:r>
      <w:r w:rsidRPr="003B462C">
        <w:rPr>
          <w:rFonts w:ascii="Times New Roman" w:hAnsi="Times New Roman" w:cs="Times New Roman"/>
          <w:i/>
          <w:sz w:val="24"/>
          <w:szCs w:val="24"/>
        </w:rPr>
        <w:t>Sande</w:t>
      </w:r>
      <w:r>
        <w:rPr>
          <w:rFonts w:ascii="Times New Roman" w:hAnsi="Times New Roman" w:cs="Times New Roman"/>
          <w:sz w:val="24"/>
          <w:szCs w:val="24"/>
        </w:rPr>
        <w:t xml:space="preserve"> also referred to paragraph 21 of the third respondent’s constitution which authorizes the General Secretary or his appointed deputy to sign all documents on behalf of council. </w:t>
      </w:r>
    </w:p>
    <w:p w14:paraId="77E4EA87" w14:textId="0A0007A8" w:rsidR="007F3079" w:rsidRDefault="003B462C" w:rsidP="00CC0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w:t>
      </w:r>
      <w:r w:rsidR="007F3079">
        <w:rPr>
          <w:rFonts w:ascii="Times New Roman" w:hAnsi="Times New Roman" w:cs="Times New Roman"/>
          <w:sz w:val="24"/>
          <w:szCs w:val="24"/>
        </w:rPr>
        <w:t xml:space="preserve">ply Mr </w:t>
      </w:r>
      <w:r w:rsidR="007F3079" w:rsidRPr="007F3079">
        <w:rPr>
          <w:rFonts w:ascii="Times New Roman" w:hAnsi="Times New Roman" w:cs="Times New Roman"/>
          <w:i/>
          <w:sz w:val="24"/>
          <w:szCs w:val="24"/>
        </w:rPr>
        <w:t xml:space="preserve">Magogo </w:t>
      </w:r>
      <w:r w:rsidR="007F3079">
        <w:rPr>
          <w:rFonts w:ascii="Times New Roman" w:hAnsi="Times New Roman" w:cs="Times New Roman"/>
          <w:sz w:val="24"/>
          <w:szCs w:val="24"/>
        </w:rPr>
        <w:t xml:space="preserve">submitted that there was nothing in the law that allowed a federation to substitute itself for a party that </w:t>
      </w:r>
      <w:r w:rsidR="001924C8">
        <w:rPr>
          <w:rFonts w:ascii="Times New Roman" w:hAnsi="Times New Roman" w:cs="Times New Roman"/>
          <w:sz w:val="24"/>
          <w:szCs w:val="24"/>
        </w:rPr>
        <w:t xml:space="preserve">was </w:t>
      </w:r>
      <w:r w:rsidR="007F3079">
        <w:rPr>
          <w:rFonts w:ascii="Times New Roman" w:hAnsi="Times New Roman" w:cs="Times New Roman"/>
          <w:sz w:val="24"/>
          <w:szCs w:val="24"/>
        </w:rPr>
        <w:t xml:space="preserve">involved in litigation, unless the federation itself was cited. He further submitted that the interpretation of the law submitted on behalf of the second respondent would lead to an absurdity where for instance the </w:t>
      </w:r>
      <w:r w:rsidR="006E5A6B">
        <w:rPr>
          <w:rFonts w:ascii="Times New Roman" w:hAnsi="Times New Roman" w:cs="Times New Roman"/>
          <w:sz w:val="24"/>
          <w:szCs w:val="24"/>
        </w:rPr>
        <w:t xml:space="preserve">party </w:t>
      </w:r>
      <w:r w:rsidR="007F3079">
        <w:rPr>
          <w:rFonts w:ascii="Times New Roman" w:hAnsi="Times New Roman" w:cs="Times New Roman"/>
          <w:sz w:val="24"/>
          <w:szCs w:val="24"/>
        </w:rPr>
        <w:t xml:space="preserve">cited would be involved in litigation that it was unaware of. </w:t>
      </w:r>
    </w:p>
    <w:p w14:paraId="39B3A87F" w14:textId="3E326E34" w:rsidR="00AC57BD" w:rsidRDefault="007F3079" w:rsidP="007F30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third respondent’s submission, Mr </w:t>
      </w:r>
      <w:r w:rsidRPr="007F3079">
        <w:rPr>
          <w:rFonts w:ascii="Times New Roman" w:hAnsi="Times New Roman" w:cs="Times New Roman"/>
          <w:i/>
          <w:sz w:val="24"/>
          <w:szCs w:val="24"/>
        </w:rPr>
        <w:t>Magogo</w:t>
      </w:r>
      <w:r>
        <w:rPr>
          <w:rFonts w:ascii="Times New Roman" w:hAnsi="Times New Roman" w:cs="Times New Roman"/>
          <w:sz w:val="24"/>
          <w:szCs w:val="24"/>
        </w:rPr>
        <w:t xml:space="preserve"> maintained the applicant’s position that an entity required a resolution permitting a deponent to represent it </w:t>
      </w:r>
      <w:r w:rsidR="006E5A6B">
        <w:rPr>
          <w:rFonts w:ascii="Times New Roman" w:hAnsi="Times New Roman" w:cs="Times New Roman"/>
          <w:sz w:val="24"/>
          <w:szCs w:val="24"/>
        </w:rPr>
        <w:t xml:space="preserve">in </w:t>
      </w:r>
      <w:r>
        <w:rPr>
          <w:rFonts w:ascii="Times New Roman" w:hAnsi="Times New Roman" w:cs="Times New Roman"/>
          <w:sz w:val="24"/>
          <w:szCs w:val="24"/>
        </w:rPr>
        <w:t xml:space="preserve">litigation proceedings. He further submitted that the day to day business of an entity referred to in </w:t>
      </w:r>
      <w:r w:rsidRPr="006E5A6B">
        <w:rPr>
          <w:rFonts w:ascii="Times New Roman" w:hAnsi="Times New Roman" w:cs="Times New Roman"/>
          <w:sz w:val="24"/>
          <w:szCs w:val="24"/>
        </w:rPr>
        <w:t xml:space="preserve">clause 7.3 of the respondent’s constitution did not apply to litigation proceedings. </w:t>
      </w:r>
      <w:r w:rsidR="004F53FD" w:rsidRPr="006E5A6B">
        <w:rPr>
          <w:rFonts w:ascii="Times New Roman" w:hAnsi="Times New Roman" w:cs="Times New Roman"/>
          <w:sz w:val="24"/>
          <w:szCs w:val="24"/>
        </w:rPr>
        <w:t>Counsel also submitted that the powers to sign all documents referred to in clause 21 did not extend to litigation do</w:t>
      </w:r>
      <w:r w:rsidR="004F53FD">
        <w:rPr>
          <w:rFonts w:ascii="Times New Roman" w:hAnsi="Times New Roman" w:cs="Times New Roman"/>
          <w:sz w:val="24"/>
          <w:szCs w:val="24"/>
        </w:rPr>
        <w:t xml:space="preserve">cuments. </w:t>
      </w:r>
    </w:p>
    <w:p w14:paraId="54785F75" w14:textId="2FBAA73E" w:rsidR="003B462C" w:rsidRDefault="007F3079" w:rsidP="001D2E82">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 xml:space="preserve"> </w:t>
      </w:r>
      <w:r w:rsidR="006E5A6B">
        <w:rPr>
          <w:rFonts w:ascii="Times New Roman" w:hAnsi="Times New Roman" w:cs="Times New Roman"/>
          <w:sz w:val="24"/>
          <w:szCs w:val="24"/>
        </w:rPr>
        <w:tab/>
      </w:r>
      <w:r w:rsidR="00520FC3">
        <w:rPr>
          <w:rFonts w:ascii="Times New Roman" w:hAnsi="Times New Roman" w:cs="Times New Roman"/>
          <w:sz w:val="24"/>
          <w:szCs w:val="24"/>
        </w:rPr>
        <w:t xml:space="preserve">Section 29(2) of the </w:t>
      </w:r>
      <w:r w:rsidR="00520FC3" w:rsidRPr="001D2E82">
        <w:rPr>
          <w:rFonts w:ascii="Times New Roman" w:hAnsi="Times New Roman" w:cs="Times New Roman"/>
          <w:sz w:val="24"/>
          <w:szCs w:val="24"/>
        </w:rPr>
        <w:t xml:space="preserve">Act provides that once a trade union, employers organization or federation is registered, </w:t>
      </w:r>
      <w:r w:rsidR="001D2E82" w:rsidRPr="001D2E82">
        <w:rPr>
          <w:rFonts w:ascii="Times New Roman" w:hAnsi="Times New Roman" w:cs="Times New Roman"/>
          <w:sz w:val="24"/>
          <w:szCs w:val="24"/>
        </w:rPr>
        <w:t xml:space="preserve">it becomes </w:t>
      </w:r>
      <w:r w:rsidR="00520FC3" w:rsidRPr="001D2E82">
        <w:rPr>
          <w:rFonts w:ascii="Times New Roman" w:hAnsi="Times New Roman" w:cs="Times New Roman"/>
          <w:sz w:val="24"/>
          <w:szCs w:val="24"/>
          <w:lang w:val="en-ZW"/>
        </w:rPr>
        <w:t>a</w:t>
      </w:r>
      <w:r w:rsidR="001D2E82" w:rsidRPr="001D2E82">
        <w:rPr>
          <w:rFonts w:ascii="Times New Roman" w:hAnsi="Times New Roman" w:cs="Times New Roman"/>
          <w:sz w:val="24"/>
          <w:szCs w:val="24"/>
          <w:lang w:val="en-ZW"/>
        </w:rPr>
        <w:t xml:space="preserve"> </w:t>
      </w:r>
      <w:r w:rsidR="00520FC3" w:rsidRPr="001D2E82">
        <w:rPr>
          <w:rFonts w:ascii="Times New Roman" w:hAnsi="Times New Roman" w:cs="Times New Roman"/>
          <w:sz w:val="24"/>
          <w:szCs w:val="24"/>
          <w:lang w:val="en-ZW"/>
        </w:rPr>
        <w:t xml:space="preserve">body corporate and shall in its corporate name be </w:t>
      </w:r>
      <w:r w:rsidR="001D2E82">
        <w:rPr>
          <w:rFonts w:ascii="Times New Roman" w:hAnsi="Times New Roman" w:cs="Times New Roman"/>
          <w:sz w:val="24"/>
          <w:szCs w:val="24"/>
          <w:lang w:val="en-ZW"/>
        </w:rPr>
        <w:t xml:space="preserve">capable of suing and being sued. An official who purports to represent such a body corporate must assert their source of authority to act in that manner. </w:t>
      </w:r>
      <w:r w:rsidR="003929DB">
        <w:rPr>
          <w:rFonts w:ascii="Times New Roman" w:hAnsi="Times New Roman" w:cs="Times New Roman"/>
          <w:sz w:val="24"/>
          <w:szCs w:val="24"/>
          <w:lang w:val="en-ZW"/>
        </w:rPr>
        <w:t xml:space="preserve">The current position of the law was reaffirmed by GARWE JA (as he then was) in </w:t>
      </w:r>
      <w:r w:rsidR="003929DB" w:rsidRPr="00501886">
        <w:rPr>
          <w:rFonts w:ascii="Times New Roman" w:hAnsi="Times New Roman" w:cs="Times New Roman"/>
          <w:i/>
          <w:sz w:val="24"/>
          <w:szCs w:val="24"/>
          <w:lang w:val="en-ZW"/>
        </w:rPr>
        <w:t>Dube</w:t>
      </w:r>
      <w:r w:rsidR="003929DB" w:rsidRPr="008A2D0A">
        <w:rPr>
          <w:rFonts w:ascii="Times New Roman" w:hAnsi="Times New Roman" w:cs="Times New Roman"/>
          <w:sz w:val="24"/>
          <w:szCs w:val="24"/>
          <w:lang w:val="en-ZW"/>
        </w:rPr>
        <w:t xml:space="preserve"> v</w:t>
      </w:r>
      <w:r w:rsidR="003929DB" w:rsidRPr="00501886">
        <w:rPr>
          <w:rFonts w:ascii="Times New Roman" w:hAnsi="Times New Roman" w:cs="Times New Roman"/>
          <w:i/>
          <w:sz w:val="24"/>
          <w:szCs w:val="24"/>
          <w:lang w:val="en-ZW"/>
        </w:rPr>
        <w:t xml:space="preserve"> Premier Service Medical Aid Society &amp; Another</w:t>
      </w:r>
      <w:r w:rsidR="003929DB">
        <w:rPr>
          <w:rStyle w:val="FootnoteReference"/>
          <w:rFonts w:ascii="Times New Roman" w:hAnsi="Times New Roman" w:cs="Times New Roman"/>
          <w:i/>
          <w:sz w:val="24"/>
          <w:szCs w:val="24"/>
          <w:lang w:val="en-ZW"/>
        </w:rPr>
        <w:footnoteReference w:id="13"/>
      </w:r>
      <w:r w:rsidR="003929DB">
        <w:rPr>
          <w:rFonts w:ascii="Times New Roman" w:hAnsi="Times New Roman" w:cs="Times New Roman"/>
          <w:i/>
          <w:sz w:val="24"/>
          <w:szCs w:val="24"/>
          <w:lang w:val="en-ZW"/>
        </w:rPr>
        <w:t xml:space="preserve">. </w:t>
      </w:r>
      <w:r w:rsidR="003929DB">
        <w:rPr>
          <w:rFonts w:ascii="Times New Roman" w:hAnsi="Times New Roman" w:cs="Times New Roman"/>
          <w:sz w:val="24"/>
          <w:szCs w:val="24"/>
          <w:lang w:val="en-ZW"/>
        </w:rPr>
        <w:t xml:space="preserve">Having cited with approval the dictum in the </w:t>
      </w:r>
      <w:r w:rsidR="003929DB" w:rsidRPr="003929DB">
        <w:rPr>
          <w:rFonts w:ascii="Times New Roman" w:hAnsi="Times New Roman" w:cs="Times New Roman"/>
          <w:i/>
          <w:sz w:val="24"/>
          <w:szCs w:val="24"/>
          <w:lang w:val="en-ZW"/>
        </w:rPr>
        <w:t xml:space="preserve">Madzvire &amp; Ors </w:t>
      </w:r>
      <w:r w:rsidR="003929DB" w:rsidRPr="008A2D0A">
        <w:rPr>
          <w:rFonts w:ascii="Times New Roman" w:hAnsi="Times New Roman" w:cs="Times New Roman"/>
          <w:sz w:val="24"/>
          <w:szCs w:val="24"/>
          <w:lang w:val="en-ZW"/>
        </w:rPr>
        <w:t>v</w:t>
      </w:r>
      <w:r w:rsidR="003929DB" w:rsidRPr="003929DB">
        <w:rPr>
          <w:rFonts w:ascii="Times New Roman" w:hAnsi="Times New Roman" w:cs="Times New Roman"/>
          <w:i/>
          <w:sz w:val="24"/>
          <w:szCs w:val="24"/>
          <w:lang w:val="en-ZW"/>
        </w:rPr>
        <w:t xml:space="preserve"> Zvarivadza &amp; Ors</w:t>
      </w:r>
      <w:r w:rsidR="003929DB">
        <w:rPr>
          <w:rFonts w:ascii="Times New Roman" w:hAnsi="Times New Roman" w:cs="Times New Roman"/>
          <w:i/>
          <w:sz w:val="24"/>
          <w:szCs w:val="24"/>
          <w:lang w:val="en-ZW"/>
        </w:rPr>
        <w:t xml:space="preserve">, </w:t>
      </w:r>
      <w:r w:rsidR="003929DB">
        <w:rPr>
          <w:rFonts w:ascii="Times New Roman" w:hAnsi="Times New Roman" w:cs="Times New Roman"/>
          <w:sz w:val="24"/>
          <w:szCs w:val="24"/>
          <w:lang w:val="en-ZW"/>
        </w:rPr>
        <w:t>the learned judge went on to state:</w:t>
      </w:r>
    </w:p>
    <w:p w14:paraId="1FF6345C" w14:textId="51C50F01" w:rsidR="003929DB" w:rsidRDefault="003929DB" w:rsidP="003929DB">
      <w:pPr>
        <w:autoSpaceDE w:val="0"/>
        <w:autoSpaceDN w:val="0"/>
        <w:adjustRightInd w:val="0"/>
        <w:spacing w:after="0" w:line="240" w:lineRule="auto"/>
        <w:ind w:left="720"/>
        <w:jc w:val="both"/>
        <w:rPr>
          <w:rFonts w:ascii="Times New Roman" w:hAnsi="Times New Roman" w:cs="Times New Roman"/>
          <w:lang w:val="en-ZW"/>
        </w:rPr>
      </w:pPr>
      <w:r w:rsidRPr="003929DB">
        <w:rPr>
          <w:rFonts w:ascii="Times New Roman" w:hAnsi="Times New Roman" w:cs="Times New Roman"/>
          <w:lang w:val="en-ZW"/>
        </w:rPr>
        <w:t>“A person who represents a legal entity, when challenged, must show that he is duly authorised to represent the entity. His mere claim that by virtue of the position he holds in such an entity he is duly authorised to represent the entity is not sufficient. He must produce a resolution of the board of that entity which confirms that the board is indeed aware of the proceedings and that it has given such a person the authority to act in the stead of the entity. I stress that the need to produce such proof is necessary only in those cases where the authority of the deponent is put in issue. This represents the current state of the law in this country.</w:t>
      </w:r>
      <w:r>
        <w:rPr>
          <w:rFonts w:ascii="Times New Roman" w:hAnsi="Times New Roman" w:cs="Times New Roman"/>
          <w:lang w:val="en-ZW"/>
        </w:rPr>
        <w:t>”</w:t>
      </w:r>
    </w:p>
    <w:p w14:paraId="69968904" w14:textId="77777777" w:rsidR="003929DB" w:rsidRPr="003929DB" w:rsidRDefault="003929DB" w:rsidP="003929DB">
      <w:pPr>
        <w:autoSpaceDE w:val="0"/>
        <w:autoSpaceDN w:val="0"/>
        <w:adjustRightInd w:val="0"/>
        <w:spacing w:after="0" w:line="240" w:lineRule="auto"/>
        <w:ind w:left="720"/>
        <w:jc w:val="both"/>
        <w:rPr>
          <w:rFonts w:ascii="Times New Roman" w:hAnsi="Times New Roman" w:cs="Times New Roman"/>
        </w:rPr>
      </w:pPr>
    </w:p>
    <w:p w14:paraId="009DAB1E" w14:textId="77777777" w:rsidR="006E5A6B" w:rsidRDefault="003929DB" w:rsidP="00CC0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5A6B">
        <w:rPr>
          <w:rFonts w:ascii="Times New Roman" w:hAnsi="Times New Roman" w:cs="Times New Roman"/>
          <w:sz w:val="24"/>
          <w:szCs w:val="24"/>
        </w:rPr>
        <w:tab/>
      </w:r>
      <w:r>
        <w:rPr>
          <w:rFonts w:ascii="Times New Roman" w:hAnsi="Times New Roman" w:cs="Times New Roman"/>
          <w:sz w:val="24"/>
          <w:szCs w:val="24"/>
        </w:rPr>
        <w:t xml:space="preserve">I associate myself with the exposition of the law as expounded by the learned judge. </w:t>
      </w:r>
      <w:r w:rsidR="006C0AA6">
        <w:rPr>
          <w:rFonts w:ascii="Times New Roman" w:hAnsi="Times New Roman" w:cs="Times New Roman"/>
          <w:sz w:val="24"/>
          <w:szCs w:val="24"/>
        </w:rPr>
        <w:t xml:space="preserve">The starting point is that once registered, a trade union and a federation become bodies corporate capable of suing and being sued in their own right. If the federation is going to claim authority to represent a trade union, then that authority must be grounded in a resolution passed by the trade union, which in its own right is at law capable of suing and being sued. </w:t>
      </w:r>
      <w:r w:rsidR="005D682B">
        <w:rPr>
          <w:rFonts w:ascii="Times New Roman" w:hAnsi="Times New Roman" w:cs="Times New Roman"/>
          <w:sz w:val="24"/>
          <w:szCs w:val="24"/>
        </w:rPr>
        <w:t xml:space="preserve">In my respectful view, it would be </w:t>
      </w:r>
      <w:r w:rsidR="006C0AA6">
        <w:rPr>
          <w:rFonts w:ascii="Times New Roman" w:hAnsi="Times New Roman" w:cs="Times New Roman"/>
          <w:sz w:val="24"/>
          <w:szCs w:val="24"/>
        </w:rPr>
        <w:t xml:space="preserve">stretching the scope </w:t>
      </w:r>
      <w:r w:rsidR="006E5A6B">
        <w:rPr>
          <w:rFonts w:ascii="Times New Roman" w:hAnsi="Times New Roman" w:cs="Times New Roman"/>
          <w:sz w:val="24"/>
          <w:szCs w:val="24"/>
        </w:rPr>
        <w:t xml:space="preserve">of </w:t>
      </w:r>
      <w:r w:rsidR="005D682B">
        <w:rPr>
          <w:rFonts w:ascii="Times New Roman" w:hAnsi="Times New Roman" w:cs="Times New Roman"/>
          <w:sz w:val="24"/>
          <w:szCs w:val="24"/>
        </w:rPr>
        <w:t>s 35(a</w:t>
      </w:r>
      <w:r w:rsidR="006C0AA6">
        <w:rPr>
          <w:rFonts w:ascii="Times New Roman" w:hAnsi="Times New Roman" w:cs="Times New Roman"/>
          <w:sz w:val="24"/>
          <w:szCs w:val="24"/>
        </w:rPr>
        <w:t>) (</w:t>
      </w:r>
      <w:r w:rsidR="005D682B">
        <w:rPr>
          <w:rFonts w:ascii="Times New Roman" w:hAnsi="Times New Roman" w:cs="Times New Roman"/>
          <w:sz w:val="24"/>
          <w:szCs w:val="24"/>
        </w:rPr>
        <w:t>v) too wide</w:t>
      </w:r>
      <w:r w:rsidR="006C0AA6">
        <w:rPr>
          <w:rFonts w:ascii="Times New Roman" w:hAnsi="Times New Roman" w:cs="Times New Roman"/>
          <w:sz w:val="24"/>
          <w:szCs w:val="24"/>
        </w:rPr>
        <w:t xml:space="preserve">, to accord it an interpretation that bestows on a federation the right to represent a trade union without the express authority of the trade union. </w:t>
      </w:r>
    </w:p>
    <w:p w14:paraId="2A902195" w14:textId="22A00E08" w:rsidR="008A5944" w:rsidRDefault="006E5A6B" w:rsidP="00CC0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regards the allusion to r</w:t>
      </w:r>
      <w:r w:rsidR="008A5944">
        <w:rPr>
          <w:rFonts w:ascii="Times New Roman" w:hAnsi="Times New Roman" w:cs="Times New Roman"/>
          <w:sz w:val="24"/>
          <w:szCs w:val="24"/>
        </w:rPr>
        <w:t xml:space="preserve"> </w:t>
      </w:r>
      <w:r>
        <w:rPr>
          <w:rFonts w:ascii="Times New Roman" w:hAnsi="Times New Roman" w:cs="Times New Roman"/>
          <w:sz w:val="24"/>
          <w:szCs w:val="24"/>
        </w:rPr>
        <w:t>58(4)</w:t>
      </w:r>
      <w:r w:rsidR="008A5944">
        <w:rPr>
          <w:rFonts w:ascii="Times New Roman" w:hAnsi="Times New Roman" w:cs="Times New Roman"/>
          <w:sz w:val="24"/>
          <w:szCs w:val="24"/>
        </w:rPr>
        <w:t>(a)</w:t>
      </w:r>
      <w:r>
        <w:rPr>
          <w:rFonts w:ascii="Times New Roman" w:hAnsi="Times New Roman" w:cs="Times New Roman"/>
          <w:sz w:val="24"/>
          <w:szCs w:val="24"/>
        </w:rPr>
        <w:t xml:space="preserve"> of the High Court rules</w:t>
      </w:r>
      <w:r w:rsidR="008A5944">
        <w:rPr>
          <w:rFonts w:ascii="Times New Roman" w:hAnsi="Times New Roman" w:cs="Times New Roman"/>
          <w:sz w:val="24"/>
          <w:szCs w:val="24"/>
        </w:rPr>
        <w:t xml:space="preserve">, I do not believe that the provision substitutes the need for authority where that person is deposing to an affidavit in a representative capacity. Anyone would claim that they can swear positive to the facts as set out therein but without the requisite authority. </w:t>
      </w:r>
    </w:p>
    <w:p w14:paraId="48035030" w14:textId="76651430" w:rsidR="006C0AA6" w:rsidRDefault="006C0AA6" w:rsidP="008A5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that reason, I am persuaded by Mr </w:t>
      </w:r>
      <w:r w:rsidRPr="006C0AA6">
        <w:rPr>
          <w:rFonts w:ascii="Times New Roman" w:hAnsi="Times New Roman" w:cs="Times New Roman"/>
          <w:i/>
          <w:sz w:val="24"/>
          <w:szCs w:val="24"/>
        </w:rPr>
        <w:t>Magogo’s</w:t>
      </w:r>
      <w:r>
        <w:rPr>
          <w:rFonts w:ascii="Times New Roman" w:hAnsi="Times New Roman" w:cs="Times New Roman"/>
          <w:sz w:val="24"/>
          <w:szCs w:val="24"/>
        </w:rPr>
        <w:t xml:space="preserve"> submission that the notice of opposition filed on behalf of the second respondent is irregular. </w:t>
      </w:r>
      <w:r w:rsidR="005D682B">
        <w:rPr>
          <w:rFonts w:ascii="Times New Roman" w:hAnsi="Times New Roman" w:cs="Times New Roman"/>
          <w:sz w:val="24"/>
          <w:szCs w:val="24"/>
        </w:rPr>
        <w:t xml:space="preserve"> </w:t>
      </w:r>
      <w:r>
        <w:rPr>
          <w:rFonts w:ascii="Times New Roman" w:hAnsi="Times New Roman" w:cs="Times New Roman"/>
          <w:sz w:val="24"/>
          <w:szCs w:val="24"/>
        </w:rPr>
        <w:t xml:space="preserve">The notice of opposition purportedly filed on behalf of the second respondent by the General Secretary of UFAWUZ is hereby expunged from the record of proceedings. </w:t>
      </w:r>
    </w:p>
    <w:p w14:paraId="53FFD9E6" w14:textId="47D5E8B1" w:rsidR="008D06A3" w:rsidRDefault="006C0AA6" w:rsidP="00CC0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w:t>
      </w:r>
      <w:r w:rsidR="00FC3E59">
        <w:rPr>
          <w:rFonts w:ascii="Times New Roman" w:hAnsi="Times New Roman" w:cs="Times New Roman"/>
          <w:sz w:val="24"/>
          <w:szCs w:val="24"/>
        </w:rPr>
        <w:t xml:space="preserve">notice of opposition filed on behalf of the third respondent, I agree with Ms </w:t>
      </w:r>
      <w:r w:rsidR="00FC3E59" w:rsidRPr="00FC3E59">
        <w:rPr>
          <w:rFonts w:ascii="Times New Roman" w:hAnsi="Times New Roman" w:cs="Times New Roman"/>
          <w:i/>
          <w:sz w:val="24"/>
          <w:szCs w:val="24"/>
        </w:rPr>
        <w:t>Sande’s</w:t>
      </w:r>
      <w:r w:rsidR="00FC3E59">
        <w:rPr>
          <w:rFonts w:ascii="Times New Roman" w:hAnsi="Times New Roman" w:cs="Times New Roman"/>
          <w:sz w:val="24"/>
          <w:szCs w:val="24"/>
        </w:rPr>
        <w:t xml:space="preserve"> submission that the starting point must be the constitution that established the third respondent. </w:t>
      </w:r>
      <w:r w:rsidR="00D02552">
        <w:rPr>
          <w:rFonts w:ascii="Times New Roman" w:hAnsi="Times New Roman" w:cs="Times New Roman"/>
          <w:sz w:val="24"/>
          <w:szCs w:val="24"/>
        </w:rPr>
        <w:t xml:space="preserve">In my view clause 7.3 as read together with clause 21 of the third respondent’s constitution authorizes the General Secretary to represent the third respondent. </w:t>
      </w:r>
      <w:r w:rsidR="00CA4C57">
        <w:rPr>
          <w:rFonts w:ascii="Times New Roman" w:hAnsi="Times New Roman" w:cs="Times New Roman"/>
          <w:sz w:val="24"/>
          <w:szCs w:val="24"/>
        </w:rPr>
        <w:t xml:space="preserve">The decisions made by the General Secretary in the exercise of his day to day functions of Council business as provided by clause 7.3 of the Constitution are subject to ratification by the Executive Committee. Clause 21 authorises the General Secretary to </w:t>
      </w:r>
      <w:r w:rsidR="00CA4C57" w:rsidRPr="00B94190">
        <w:rPr>
          <w:rFonts w:ascii="Times New Roman" w:hAnsi="Times New Roman" w:cs="Times New Roman"/>
          <w:i/>
          <w:sz w:val="24"/>
          <w:szCs w:val="24"/>
          <w:u w:val="single"/>
        </w:rPr>
        <w:t>“sign all documents on behalf of the Council</w:t>
      </w:r>
      <w:r w:rsidR="00CA4C57" w:rsidRPr="00B94190">
        <w:rPr>
          <w:rFonts w:ascii="Times New Roman" w:hAnsi="Times New Roman" w:cs="Times New Roman"/>
          <w:i/>
          <w:sz w:val="24"/>
          <w:szCs w:val="24"/>
        </w:rPr>
        <w:t>.</w:t>
      </w:r>
      <w:r w:rsidR="00CA4C57">
        <w:rPr>
          <w:rFonts w:ascii="Times New Roman" w:hAnsi="Times New Roman" w:cs="Times New Roman"/>
          <w:sz w:val="24"/>
          <w:szCs w:val="24"/>
        </w:rPr>
        <w:t>”</w:t>
      </w:r>
      <w:r w:rsidR="00B94190">
        <w:rPr>
          <w:rFonts w:ascii="Times New Roman" w:hAnsi="Times New Roman" w:cs="Times New Roman"/>
          <w:sz w:val="24"/>
          <w:szCs w:val="24"/>
        </w:rPr>
        <w:t xml:space="preserve"> In terms of clause 8.2 of the third respondent’s constitution, the Council of the third respondent </w:t>
      </w:r>
      <w:r w:rsidR="00B94190" w:rsidRPr="00B94190">
        <w:rPr>
          <w:rFonts w:ascii="Times New Roman" w:hAnsi="Times New Roman" w:cs="Times New Roman"/>
          <w:i/>
          <w:sz w:val="24"/>
          <w:szCs w:val="24"/>
        </w:rPr>
        <w:t>“shall meet at least twice annually at such times and places as the Chairperson or the General Secretary may from time to time determine</w:t>
      </w:r>
      <w:r w:rsidR="00B94190">
        <w:rPr>
          <w:rFonts w:ascii="Times New Roman" w:hAnsi="Times New Roman" w:cs="Times New Roman"/>
          <w:sz w:val="24"/>
          <w:szCs w:val="24"/>
        </w:rPr>
        <w:t xml:space="preserve">”. </w:t>
      </w:r>
      <w:r w:rsidR="00CA4C57">
        <w:rPr>
          <w:rFonts w:ascii="Times New Roman" w:hAnsi="Times New Roman" w:cs="Times New Roman"/>
          <w:sz w:val="24"/>
          <w:szCs w:val="24"/>
        </w:rPr>
        <w:t xml:space="preserve"> I agree with the observations by my brother DEME J </w:t>
      </w:r>
      <w:r w:rsidR="00AC01E2">
        <w:rPr>
          <w:rFonts w:ascii="Times New Roman" w:hAnsi="Times New Roman" w:cs="Times New Roman"/>
          <w:sz w:val="24"/>
          <w:szCs w:val="24"/>
        </w:rPr>
        <w:t xml:space="preserve">in the </w:t>
      </w:r>
      <w:r w:rsidR="00AC01E2" w:rsidRPr="001029AF">
        <w:rPr>
          <w:rFonts w:ascii="Times New Roman" w:hAnsi="Times New Roman" w:cs="Times New Roman"/>
          <w:i/>
          <w:sz w:val="24"/>
          <w:szCs w:val="24"/>
        </w:rPr>
        <w:t>Baking and Allied Workers Union &amp; Four Others v National Employment Council for Food and Allied Industries and Seven Others</w:t>
      </w:r>
      <w:r w:rsidR="00B94190">
        <w:rPr>
          <w:rStyle w:val="FootnoteReference"/>
          <w:rFonts w:ascii="Times New Roman" w:hAnsi="Times New Roman" w:cs="Times New Roman"/>
          <w:i/>
          <w:sz w:val="24"/>
          <w:szCs w:val="24"/>
        </w:rPr>
        <w:footnoteReference w:id="14"/>
      </w:r>
      <w:r w:rsidR="00B94190">
        <w:rPr>
          <w:rFonts w:ascii="Times New Roman" w:hAnsi="Times New Roman" w:cs="Times New Roman"/>
          <w:i/>
          <w:sz w:val="24"/>
          <w:szCs w:val="24"/>
        </w:rPr>
        <w:t xml:space="preserve"> </w:t>
      </w:r>
      <w:r w:rsidR="00B94190">
        <w:rPr>
          <w:rFonts w:ascii="Times New Roman" w:hAnsi="Times New Roman" w:cs="Times New Roman"/>
          <w:sz w:val="24"/>
          <w:szCs w:val="24"/>
        </w:rPr>
        <w:t xml:space="preserve">case that given the intervals at which the Council is obliged to meet, it comes as no surprise that the General Secretary is endowed with powers to make key decisions as well as sign all documents on behalf of the Council subject to ratification by the Executive Committee. I accordingly find the objection meritless and it is hereby dismissed. </w:t>
      </w:r>
    </w:p>
    <w:p w14:paraId="0D5890C5" w14:textId="180BE3A8" w:rsidR="00410782" w:rsidRPr="00482593" w:rsidRDefault="00410782" w:rsidP="00410782">
      <w:pPr>
        <w:spacing w:after="0" w:line="360" w:lineRule="auto"/>
        <w:jc w:val="both"/>
        <w:rPr>
          <w:rFonts w:ascii="Times New Roman" w:hAnsi="Times New Roman" w:cs="Times New Roman"/>
          <w:sz w:val="24"/>
          <w:szCs w:val="24"/>
        </w:rPr>
      </w:pPr>
      <w:r w:rsidRPr="00482593">
        <w:rPr>
          <w:rFonts w:ascii="Times New Roman" w:hAnsi="Times New Roman" w:cs="Times New Roman"/>
          <w:b/>
          <w:i/>
          <w:sz w:val="24"/>
          <w:szCs w:val="24"/>
        </w:rPr>
        <w:t>That a lawful process cannot be interdicted</w:t>
      </w:r>
      <w:r w:rsidRPr="00482593">
        <w:rPr>
          <w:rFonts w:ascii="Times New Roman" w:hAnsi="Times New Roman" w:cs="Times New Roman"/>
          <w:sz w:val="24"/>
          <w:szCs w:val="24"/>
        </w:rPr>
        <w:t xml:space="preserve">; </w:t>
      </w:r>
    </w:p>
    <w:p w14:paraId="7DBA3886" w14:textId="77777777" w:rsidR="00087000" w:rsidRDefault="00D402F8" w:rsidP="00482593">
      <w:pPr>
        <w:spacing w:after="0" w:line="360" w:lineRule="auto"/>
        <w:ind w:firstLine="720"/>
        <w:jc w:val="both"/>
        <w:rPr>
          <w:rFonts w:ascii="Times New Roman" w:hAnsi="Times New Roman" w:cs="Times New Roman"/>
          <w:sz w:val="24"/>
          <w:szCs w:val="24"/>
        </w:rPr>
      </w:pPr>
      <w:r w:rsidRPr="00482593">
        <w:rPr>
          <w:rFonts w:ascii="Times New Roman" w:hAnsi="Times New Roman" w:cs="Times New Roman"/>
          <w:sz w:val="24"/>
          <w:szCs w:val="24"/>
        </w:rPr>
        <w:t xml:space="preserve">It was submitted on behalf of the first respondent that there was nothing unlawful about the submission of the CBA to the fourth respondent for registration in terms of section 79 of the Act. Mr </w:t>
      </w:r>
      <w:r w:rsidRPr="00482593">
        <w:rPr>
          <w:rFonts w:ascii="Times New Roman" w:hAnsi="Times New Roman" w:cs="Times New Roman"/>
          <w:i/>
          <w:sz w:val="24"/>
          <w:szCs w:val="24"/>
        </w:rPr>
        <w:t xml:space="preserve">Madhuku </w:t>
      </w:r>
      <w:r w:rsidRPr="00482593">
        <w:rPr>
          <w:rFonts w:ascii="Times New Roman" w:hAnsi="Times New Roman" w:cs="Times New Roman"/>
          <w:sz w:val="24"/>
          <w:szCs w:val="24"/>
        </w:rPr>
        <w:t xml:space="preserve">further submitted that the Act had an inbuilt process to regulate such matters. The court would have interfered with a lawful process if it granted the relief sought. </w:t>
      </w:r>
      <w:r w:rsidR="00482593" w:rsidRPr="00482593">
        <w:rPr>
          <w:rFonts w:ascii="Times New Roman" w:hAnsi="Times New Roman" w:cs="Times New Roman"/>
          <w:sz w:val="24"/>
          <w:szCs w:val="24"/>
        </w:rPr>
        <w:t xml:space="preserve">In reply Mr </w:t>
      </w:r>
      <w:r w:rsidR="00482593" w:rsidRPr="00482593">
        <w:rPr>
          <w:rFonts w:ascii="Times New Roman" w:hAnsi="Times New Roman" w:cs="Times New Roman"/>
          <w:i/>
          <w:sz w:val="24"/>
          <w:szCs w:val="24"/>
        </w:rPr>
        <w:t>Magogo</w:t>
      </w:r>
      <w:r w:rsidR="00482593" w:rsidRPr="00482593">
        <w:rPr>
          <w:rFonts w:ascii="Times New Roman" w:hAnsi="Times New Roman" w:cs="Times New Roman"/>
          <w:sz w:val="24"/>
          <w:szCs w:val="24"/>
        </w:rPr>
        <w:t xml:space="preserve"> submitted that the application challenged </w:t>
      </w:r>
      <w:r w:rsidR="00482593">
        <w:rPr>
          <w:rFonts w:ascii="Times New Roman" w:hAnsi="Times New Roman" w:cs="Times New Roman"/>
          <w:sz w:val="24"/>
          <w:szCs w:val="24"/>
        </w:rPr>
        <w:t xml:space="preserve">the authority of the first respondent to negotiate a CBA with the second respondent. He further submitted that a CBA that was not negotiated in terms of section 74(2) of the Act was not a lawful CBA. There was therefore nothing lawful about the whole process. </w:t>
      </w:r>
    </w:p>
    <w:p w14:paraId="1A176BE4" w14:textId="77777777" w:rsidR="001F2D87" w:rsidRDefault="00087000" w:rsidP="004825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settled law in this jurisdiction that this court cannot interdict a lawful process.</w:t>
      </w:r>
      <w:r>
        <w:rPr>
          <w:rStyle w:val="FootnoteReference"/>
          <w:rFonts w:ascii="Times New Roman" w:hAnsi="Times New Roman" w:cs="Times New Roman"/>
          <w:sz w:val="24"/>
          <w:szCs w:val="24"/>
        </w:rPr>
        <w:footnoteReference w:id="15"/>
      </w:r>
      <w:r w:rsidR="00786A6C">
        <w:rPr>
          <w:rFonts w:ascii="Times New Roman" w:hAnsi="Times New Roman" w:cs="Times New Roman"/>
          <w:sz w:val="24"/>
          <w:szCs w:val="24"/>
        </w:rPr>
        <w:t xml:space="preserve"> The applicant contends that the CBA was </w:t>
      </w:r>
      <w:r w:rsidR="001F2D87">
        <w:rPr>
          <w:rFonts w:ascii="Times New Roman" w:hAnsi="Times New Roman" w:cs="Times New Roman"/>
          <w:sz w:val="24"/>
          <w:szCs w:val="24"/>
        </w:rPr>
        <w:t>not lawfully concluded. The law which founds that process was violated. It is for that reason that the applicant seeks an interim relief suspending the registration of the CBA to allow the court to interrogate fully the lawfulness of the entire process. There is evidence on record in the form of correspondence between the parties that clearly points to a dispute. The applicant had anticipated that such dispute would be resolved through the intervention of the third and fourth respondents before the negotiations leading to the conclusion of the CBA could commence. It is also clear from the papers that such negotiations leading to the CBA were done behind the applicant’s back when all the parties were aware of the applicant’s interest in those negotiations. For that reason, it is the court’s view that there is merit in the applicant’s complaint which warrants the intervention of this court at this stage. I find no merit in the objection and it is accordingly dismissed.</w:t>
      </w:r>
    </w:p>
    <w:p w14:paraId="5B0613DB" w14:textId="77777777" w:rsidR="00910B4A" w:rsidRDefault="00910B4A" w:rsidP="00410782">
      <w:pPr>
        <w:spacing w:after="0" w:line="360" w:lineRule="auto"/>
        <w:jc w:val="both"/>
        <w:rPr>
          <w:rFonts w:ascii="Times New Roman" w:hAnsi="Times New Roman" w:cs="Times New Roman"/>
        </w:rPr>
      </w:pPr>
      <w:r w:rsidRPr="00910B4A">
        <w:rPr>
          <w:rFonts w:ascii="Times New Roman" w:hAnsi="Times New Roman" w:cs="Times New Roman"/>
          <w:b/>
          <w:i/>
          <w:sz w:val="24"/>
          <w:szCs w:val="24"/>
        </w:rPr>
        <w:t>Failure</w:t>
      </w:r>
      <w:r w:rsidR="00410782" w:rsidRPr="00910B4A">
        <w:rPr>
          <w:rFonts w:ascii="Times New Roman" w:hAnsi="Times New Roman" w:cs="Times New Roman"/>
          <w:b/>
          <w:i/>
          <w:sz w:val="24"/>
          <w:szCs w:val="24"/>
        </w:rPr>
        <w:t xml:space="preserve"> to exhaust domestic remedies </w:t>
      </w:r>
    </w:p>
    <w:p w14:paraId="39AC26D3" w14:textId="3BDB3EC0" w:rsidR="005308A5" w:rsidRDefault="00792A73" w:rsidP="00410782">
      <w:pPr>
        <w:spacing w:after="0" w:line="360" w:lineRule="auto"/>
        <w:jc w:val="both"/>
        <w:rPr>
          <w:rFonts w:ascii="Times New Roman" w:hAnsi="Times New Roman" w:cs="Times New Roman"/>
          <w:sz w:val="24"/>
          <w:szCs w:val="24"/>
        </w:rPr>
      </w:pPr>
      <w:r w:rsidRPr="002F2C0F">
        <w:rPr>
          <w:rFonts w:ascii="Times New Roman" w:hAnsi="Times New Roman" w:cs="Times New Roman"/>
          <w:sz w:val="24"/>
          <w:szCs w:val="24"/>
        </w:rPr>
        <w:tab/>
      </w:r>
      <w:r w:rsidR="002F2C0F" w:rsidRPr="002F2C0F">
        <w:rPr>
          <w:rFonts w:ascii="Times New Roman" w:hAnsi="Times New Roman" w:cs="Times New Roman"/>
          <w:sz w:val="24"/>
          <w:szCs w:val="24"/>
        </w:rPr>
        <w:t xml:space="preserve">Mr </w:t>
      </w:r>
      <w:r w:rsidR="002F2C0F" w:rsidRPr="00F66DEF">
        <w:rPr>
          <w:rFonts w:ascii="Times New Roman" w:hAnsi="Times New Roman" w:cs="Times New Roman"/>
          <w:i/>
          <w:sz w:val="24"/>
          <w:szCs w:val="24"/>
        </w:rPr>
        <w:t>Madhuku</w:t>
      </w:r>
      <w:r w:rsidR="002F2C0F" w:rsidRPr="002F2C0F">
        <w:rPr>
          <w:rFonts w:ascii="Times New Roman" w:hAnsi="Times New Roman" w:cs="Times New Roman"/>
          <w:sz w:val="24"/>
          <w:szCs w:val="24"/>
        </w:rPr>
        <w:t xml:space="preserve"> submitted </w:t>
      </w:r>
      <w:r w:rsidR="00F66DEF">
        <w:rPr>
          <w:rFonts w:ascii="Times New Roman" w:hAnsi="Times New Roman" w:cs="Times New Roman"/>
          <w:sz w:val="24"/>
          <w:szCs w:val="24"/>
        </w:rPr>
        <w:t>that the applicant had not exhausted th</w:t>
      </w:r>
      <w:r w:rsidR="008A5944">
        <w:rPr>
          <w:rFonts w:ascii="Times New Roman" w:hAnsi="Times New Roman" w:cs="Times New Roman"/>
          <w:sz w:val="24"/>
          <w:szCs w:val="24"/>
        </w:rPr>
        <w:t>e domestic remedies provided</w:t>
      </w:r>
      <w:r w:rsidR="00F66DEF">
        <w:rPr>
          <w:rFonts w:ascii="Times New Roman" w:hAnsi="Times New Roman" w:cs="Times New Roman"/>
          <w:sz w:val="24"/>
          <w:szCs w:val="24"/>
        </w:rPr>
        <w:t xml:space="preserve"> under s 79(2) of the Act. </w:t>
      </w:r>
      <w:r w:rsidR="005308A5">
        <w:rPr>
          <w:rFonts w:ascii="Times New Roman" w:hAnsi="Times New Roman" w:cs="Times New Roman"/>
          <w:sz w:val="24"/>
          <w:szCs w:val="24"/>
        </w:rPr>
        <w:t>Section 79(2) states that:</w:t>
      </w:r>
    </w:p>
    <w:p w14:paraId="73D75888" w14:textId="1B0B8CC3" w:rsidR="005308A5" w:rsidRPr="005308A5" w:rsidRDefault="005308A5" w:rsidP="005308A5">
      <w:pPr>
        <w:autoSpaceDE w:val="0"/>
        <w:autoSpaceDN w:val="0"/>
        <w:adjustRightInd w:val="0"/>
        <w:spacing w:after="0" w:line="240" w:lineRule="auto"/>
        <w:jc w:val="both"/>
        <w:rPr>
          <w:rFonts w:ascii="Times New Roman" w:hAnsi="Times New Roman" w:cs="Times New Roman"/>
          <w:b/>
          <w:bCs/>
          <w:sz w:val="21"/>
          <w:szCs w:val="21"/>
          <w:lang w:val="en-ZW"/>
        </w:rPr>
      </w:pPr>
      <w:r>
        <w:rPr>
          <w:rFonts w:ascii="Times New Roman" w:hAnsi="Times New Roman" w:cs="Times New Roman"/>
          <w:sz w:val="24"/>
          <w:szCs w:val="24"/>
        </w:rPr>
        <w:tab/>
        <w:t>“</w:t>
      </w:r>
      <w:r w:rsidRPr="005308A5">
        <w:rPr>
          <w:rFonts w:ascii="Times New Roman" w:hAnsi="Times New Roman" w:cs="Times New Roman"/>
          <w:b/>
          <w:bCs/>
          <w:sz w:val="21"/>
          <w:szCs w:val="21"/>
          <w:lang w:val="en-ZW"/>
        </w:rPr>
        <w:t>79 Submission of collective bargaining agreements for approval or registration</w:t>
      </w:r>
    </w:p>
    <w:p w14:paraId="02A26841" w14:textId="6880C054" w:rsidR="005308A5" w:rsidRPr="005308A5" w:rsidRDefault="005308A5" w:rsidP="005308A5">
      <w:pPr>
        <w:autoSpaceDE w:val="0"/>
        <w:autoSpaceDN w:val="0"/>
        <w:adjustRightInd w:val="0"/>
        <w:spacing w:after="0" w:line="240" w:lineRule="auto"/>
        <w:ind w:left="720"/>
        <w:jc w:val="both"/>
        <w:rPr>
          <w:rFonts w:ascii="Times New Roman" w:hAnsi="Times New Roman" w:cs="Times New Roman"/>
          <w:sz w:val="21"/>
          <w:szCs w:val="21"/>
          <w:lang w:val="en-ZW"/>
        </w:rPr>
      </w:pPr>
      <w:r w:rsidRPr="005308A5">
        <w:rPr>
          <w:rFonts w:ascii="Times New Roman" w:hAnsi="Times New Roman" w:cs="Times New Roman"/>
          <w:sz w:val="21"/>
          <w:szCs w:val="21"/>
          <w:lang w:val="en-ZW"/>
        </w:rPr>
        <w:t>(1) After negotiation, a collective bargaining agreement shall be submitted to the Registrar for</w:t>
      </w:r>
      <w:r>
        <w:rPr>
          <w:rFonts w:ascii="Times New Roman" w:hAnsi="Times New Roman" w:cs="Times New Roman"/>
          <w:sz w:val="21"/>
          <w:szCs w:val="21"/>
          <w:lang w:val="en-ZW"/>
        </w:rPr>
        <w:t xml:space="preserve"> </w:t>
      </w:r>
      <w:r w:rsidRPr="005308A5">
        <w:rPr>
          <w:rFonts w:ascii="Times New Roman" w:hAnsi="Times New Roman" w:cs="Times New Roman"/>
          <w:sz w:val="21"/>
          <w:szCs w:val="21"/>
          <w:lang w:val="en-ZW"/>
        </w:rPr>
        <w:t>registration.</w:t>
      </w:r>
    </w:p>
    <w:p w14:paraId="2B862F20" w14:textId="77777777" w:rsidR="005308A5" w:rsidRPr="005308A5" w:rsidRDefault="005308A5" w:rsidP="005308A5">
      <w:pPr>
        <w:autoSpaceDE w:val="0"/>
        <w:autoSpaceDN w:val="0"/>
        <w:adjustRightInd w:val="0"/>
        <w:spacing w:after="0" w:line="240" w:lineRule="auto"/>
        <w:ind w:firstLine="720"/>
        <w:jc w:val="both"/>
        <w:rPr>
          <w:rFonts w:ascii="Times New Roman" w:hAnsi="Times New Roman" w:cs="Times New Roman"/>
          <w:sz w:val="21"/>
          <w:szCs w:val="21"/>
          <w:lang w:val="en-ZW"/>
        </w:rPr>
      </w:pPr>
      <w:r w:rsidRPr="005308A5">
        <w:rPr>
          <w:rFonts w:ascii="Times New Roman" w:hAnsi="Times New Roman" w:cs="Times New Roman"/>
          <w:sz w:val="21"/>
          <w:szCs w:val="21"/>
          <w:lang w:val="en-ZW"/>
        </w:rPr>
        <w:t>(2) Where any provision of a collective bargaining agreement appears to the Minister to be—</w:t>
      </w:r>
    </w:p>
    <w:p w14:paraId="55CAAA3B" w14:textId="77777777" w:rsidR="005308A5" w:rsidRPr="005308A5" w:rsidRDefault="005308A5" w:rsidP="005308A5">
      <w:pPr>
        <w:autoSpaceDE w:val="0"/>
        <w:autoSpaceDN w:val="0"/>
        <w:adjustRightInd w:val="0"/>
        <w:spacing w:after="0" w:line="240" w:lineRule="auto"/>
        <w:ind w:left="720"/>
        <w:jc w:val="both"/>
        <w:rPr>
          <w:rFonts w:ascii="Times New Roman" w:hAnsi="Times New Roman" w:cs="Times New Roman"/>
          <w:sz w:val="21"/>
          <w:szCs w:val="21"/>
          <w:lang w:val="en-ZW"/>
        </w:rPr>
      </w:pPr>
      <w:r w:rsidRPr="005308A5">
        <w:rPr>
          <w:rFonts w:ascii="Times New Roman" w:hAnsi="Times New Roman" w:cs="Times New Roman"/>
          <w:sz w:val="21"/>
          <w:szCs w:val="21"/>
          <w:lang w:val="en-ZW"/>
        </w:rPr>
        <w:t>(</w:t>
      </w:r>
      <w:r w:rsidRPr="005308A5">
        <w:rPr>
          <w:rFonts w:ascii="Times New Roman" w:hAnsi="Times New Roman" w:cs="Times New Roman"/>
          <w:i/>
          <w:iCs/>
          <w:sz w:val="21"/>
          <w:szCs w:val="21"/>
          <w:lang w:val="en-ZW"/>
        </w:rPr>
        <w:t>a</w:t>
      </w:r>
      <w:r w:rsidRPr="005308A5">
        <w:rPr>
          <w:rFonts w:ascii="Times New Roman" w:hAnsi="Times New Roman" w:cs="Times New Roman"/>
          <w:sz w:val="21"/>
          <w:szCs w:val="21"/>
          <w:lang w:val="en-ZW"/>
        </w:rPr>
        <w:t>) inconsistent with this Act or any other enactment; or</w:t>
      </w:r>
    </w:p>
    <w:p w14:paraId="5AF16E7A" w14:textId="77777777" w:rsidR="005308A5" w:rsidRPr="005308A5" w:rsidRDefault="005308A5" w:rsidP="005308A5">
      <w:pPr>
        <w:autoSpaceDE w:val="0"/>
        <w:autoSpaceDN w:val="0"/>
        <w:adjustRightInd w:val="0"/>
        <w:spacing w:after="0" w:line="240" w:lineRule="auto"/>
        <w:ind w:firstLine="720"/>
        <w:jc w:val="both"/>
        <w:rPr>
          <w:rFonts w:ascii="Times New Roman" w:hAnsi="Times New Roman" w:cs="Times New Roman"/>
          <w:sz w:val="21"/>
          <w:szCs w:val="21"/>
          <w:lang w:val="en-ZW"/>
        </w:rPr>
      </w:pPr>
      <w:r w:rsidRPr="005308A5">
        <w:rPr>
          <w:rFonts w:ascii="Times New Roman" w:hAnsi="Times New Roman" w:cs="Times New Roman"/>
          <w:sz w:val="21"/>
          <w:szCs w:val="21"/>
          <w:lang w:val="en-ZW"/>
        </w:rPr>
        <w:t>(</w:t>
      </w:r>
      <w:r w:rsidRPr="005308A5">
        <w:rPr>
          <w:rFonts w:ascii="Times New Roman" w:hAnsi="Times New Roman" w:cs="Times New Roman"/>
          <w:i/>
          <w:iCs/>
          <w:sz w:val="21"/>
          <w:szCs w:val="21"/>
          <w:lang w:val="en-ZW"/>
        </w:rPr>
        <w:t>b</w:t>
      </w:r>
      <w:r w:rsidRPr="005308A5">
        <w:rPr>
          <w:rFonts w:ascii="Times New Roman" w:hAnsi="Times New Roman" w:cs="Times New Roman"/>
          <w:sz w:val="21"/>
          <w:szCs w:val="21"/>
          <w:lang w:val="en-ZW"/>
        </w:rPr>
        <w:t>) contrary to public interest;</w:t>
      </w:r>
    </w:p>
    <w:p w14:paraId="4D2243D5" w14:textId="2CA95B55" w:rsidR="005308A5" w:rsidRPr="005308A5" w:rsidRDefault="005308A5" w:rsidP="005308A5">
      <w:pPr>
        <w:autoSpaceDE w:val="0"/>
        <w:autoSpaceDN w:val="0"/>
        <w:adjustRightInd w:val="0"/>
        <w:spacing w:after="0" w:line="240" w:lineRule="auto"/>
        <w:ind w:firstLine="720"/>
        <w:jc w:val="both"/>
        <w:rPr>
          <w:rFonts w:ascii="Times New Roman" w:hAnsi="Times New Roman" w:cs="Times New Roman"/>
          <w:sz w:val="21"/>
          <w:szCs w:val="21"/>
          <w:lang w:val="en-ZW"/>
        </w:rPr>
      </w:pPr>
      <w:r w:rsidRPr="005308A5">
        <w:rPr>
          <w:rFonts w:ascii="Times New Roman" w:hAnsi="Times New Roman" w:cs="Times New Roman"/>
          <w:sz w:val="21"/>
          <w:szCs w:val="21"/>
          <w:lang w:val="en-ZW"/>
        </w:rPr>
        <w:t>(</w:t>
      </w:r>
      <w:r w:rsidRPr="005308A5">
        <w:rPr>
          <w:rFonts w:ascii="Times New Roman" w:hAnsi="Times New Roman" w:cs="Times New Roman"/>
          <w:i/>
          <w:iCs/>
          <w:sz w:val="21"/>
          <w:szCs w:val="21"/>
          <w:lang w:val="en-ZW"/>
        </w:rPr>
        <w:t>c</w:t>
      </w:r>
      <w:r w:rsidRPr="005308A5">
        <w:rPr>
          <w:rFonts w:ascii="Times New Roman" w:hAnsi="Times New Roman" w:cs="Times New Roman"/>
          <w:sz w:val="21"/>
          <w:szCs w:val="21"/>
          <w:lang w:val="en-ZW"/>
        </w:rPr>
        <w:t>) unreasonable or unfair, having regard to the respective rights of the parties;</w:t>
      </w:r>
    </w:p>
    <w:p w14:paraId="62BEA647" w14:textId="18AE981E" w:rsidR="00910B4A" w:rsidRPr="005308A5" w:rsidRDefault="005308A5" w:rsidP="005308A5">
      <w:pPr>
        <w:autoSpaceDE w:val="0"/>
        <w:autoSpaceDN w:val="0"/>
        <w:adjustRightInd w:val="0"/>
        <w:spacing w:after="0" w:line="240" w:lineRule="auto"/>
        <w:ind w:left="720"/>
        <w:jc w:val="both"/>
        <w:rPr>
          <w:rFonts w:ascii="Times New Roman" w:hAnsi="Times New Roman" w:cs="Times New Roman"/>
          <w:sz w:val="24"/>
          <w:szCs w:val="24"/>
        </w:rPr>
      </w:pPr>
      <w:r w:rsidRPr="005308A5">
        <w:rPr>
          <w:rFonts w:ascii="Times New Roman" w:hAnsi="Times New Roman" w:cs="Times New Roman"/>
          <w:sz w:val="21"/>
          <w:szCs w:val="21"/>
          <w:lang w:val="en-ZW"/>
        </w:rPr>
        <w:t>he may direct the Registrar not to register such collective bargaining agreement until it has been</w:t>
      </w:r>
      <w:r>
        <w:rPr>
          <w:rFonts w:ascii="Times New Roman" w:hAnsi="Times New Roman" w:cs="Times New Roman"/>
          <w:sz w:val="21"/>
          <w:szCs w:val="21"/>
          <w:lang w:val="en-ZW"/>
        </w:rPr>
        <w:t xml:space="preserve"> </w:t>
      </w:r>
      <w:r w:rsidRPr="005308A5">
        <w:rPr>
          <w:rFonts w:ascii="Times New Roman" w:hAnsi="Times New Roman" w:cs="Times New Roman"/>
          <w:sz w:val="21"/>
          <w:szCs w:val="21"/>
          <w:lang w:val="en-ZW"/>
        </w:rPr>
        <w:t>suitably amended by the parties thereto.</w:t>
      </w:r>
      <w:r w:rsidRPr="005308A5">
        <w:rPr>
          <w:rFonts w:ascii="Times New Roman" w:hAnsi="Times New Roman" w:cs="Times New Roman"/>
          <w:sz w:val="24"/>
          <w:szCs w:val="24"/>
        </w:rPr>
        <w:t xml:space="preserve"> </w:t>
      </w:r>
    </w:p>
    <w:p w14:paraId="7821A45E" w14:textId="77777777" w:rsidR="005308A5" w:rsidRDefault="005308A5" w:rsidP="005308A5">
      <w:pPr>
        <w:spacing w:after="0" w:line="360" w:lineRule="auto"/>
        <w:jc w:val="both"/>
        <w:rPr>
          <w:rFonts w:ascii="Times New Roman" w:hAnsi="Times New Roman" w:cs="Times New Roman"/>
        </w:rPr>
      </w:pPr>
    </w:p>
    <w:p w14:paraId="3BF49A27" w14:textId="342E6469" w:rsidR="00E20332" w:rsidRDefault="00E20332" w:rsidP="006A48A0">
      <w:pPr>
        <w:spacing w:after="0" w:line="360" w:lineRule="auto"/>
        <w:ind w:firstLine="720"/>
        <w:jc w:val="both"/>
        <w:rPr>
          <w:rFonts w:ascii="Times New Roman" w:hAnsi="Times New Roman" w:cs="Times New Roman"/>
          <w:sz w:val="24"/>
          <w:szCs w:val="24"/>
        </w:rPr>
      </w:pPr>
      <w:r w:rsidRPr="00E20332">
        <w:rPr>
          <w:rFonts w:ascii="Times New Roman" w:hAnsi="Times New Roman" w:cs="Times New Roman"/>
          <w:sz w:val="24"/>
          <w:szCs w:val="24"/>
        </w:rPr>
        <w:t xml:space="preserve">Ms </w:t>
      </w:r>
      <w:r w:rsidRPr="00E20332">
        <w:rPr>
          <w:rFonts w:ascii="Times New Roman" w:hAnsi="Times New Roman" w:cs="Times New Roman"/>
          <w:i/>
          <w:sz w:val="24"/>
          <w:szCs w:val="24"/>
        </w:rPr>
        <w:t>Sande</w:t>
      </w:r>
      <w:r w:rsidRPr="00E20332">
        <w:rPr>
          <w:rFonts w:ascii="Times New Roman" w:hAnsi="Times New Roman" w:cs="Times New Roman"/>
          <w:sz w:val="24"/>
          <w:szCs w:val="24"/>
        </w:rPr>
        <w:t xml:space="preserve"> submitted that the </w:t>
      </w:r>
      <w:r>
        <w:rPr>
          <w:rFonts w:ascii="Times New Roman" w:hAnsi="Times New Roman" w:cs="Times New Roman"/>
          <w:sz w:val="24"/>
          <w:szCs w:val="24"/>
        </w:rPr>
        <w:t xml:space="preserve">applicant had prematurely approached this court as the </w:t>
      </w:r>
      <w:r w:rsidRPr="00E20332">
        <w:rPr>
          <w:rFonts w:ascii="Times New Roman" w:hAnsi="Times New Roman" w:cs="Times New Roman"/>
          <w:sz w:val="24"/>
          <w:szCs w:val="24"/>
        </w:rPr>
        <w:t xml:space="preserve">process leading to the registration of the CBA had not been exhausted yet. </w:t>
      </w:r>
      <w:r>
        <w:rPr>
          <w:rFonts w:ascii="Times New Roman" w:hAnsi="Times New Roman" w:cs="Times New Roman"/>
          <w:sz w:val="24"/>
          <w:szCs w:val="24"/>
        </w:rPr>
        <w:t xml:space="preserve">The Registrar was still to call for representations from interested parties. </w:t>
      </w:r>
    </w:p>
    <w:p w14:paraId="48AB278C" w14:textId="4F81BE6E" w:rsidR="004479A4" w:rsidRDefault="004479A4" w:rsidP="006A4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response, Mr </w:t>
      </w:r>
      <w:r w:rsidRPr="004479A4">
        <w:rPr>
          <w:rFonts w:ascii="Times New Roman" w:hAnsi="Times New Roman" w:cs="Times New Roman"/>
          <w:i/>
          <w:sz w:val="24"/>
          <w:szCs w:val="24"/>
        </w:rPr>
        <w:t xml:space="preserve">Magogo </w:t>
      </w:r>
      <w:r>
        <w:rPr>
          <w:rFonts w:ascii="Times New Roman" w:hAnsi="Times New Roman" w:cs="Times New Roman"/>
          <w:sz w:val="24"/>
          <w:szCs w:val="24"/>
        </w:rPr>
        <w:t xml:space="preserve">submitted that there was no provision in the Act </w:t>
      </w:r>
      <w:r w:rsidR="005106C6">
        <w:rPr>
          <w:rFonts w:ascii="Times New Roman" w:hAnsi="Times New Roman" w:cs="Times New Roman"/>
          <w:sz w:val="24"/>
          <w:szCs w:val="24"/>
        </w:rPr>
        <w:t xml:space="preserve">which allowed a concerned party to make representations to the registering authority before the CBA can be registered. That left aggrieved party exposed. </w:t>
      </w:r>
    </w:p>
    <w:p w14:paraId="0F929FE0" w14:textId="25018C49" w:rsidR="006A48A0" w:rsidRPr="00203E75" w:rsidRDefault="006A48A0" w:rsidP="008A5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5552E">
        <w:rPr>
          <w:rFonts w:ascii="Times New Roman" w:hAnsi="Times New Roman" w:cs="Times New Roman"/>
          <w:i/>
          <w:sz w:val="24"/>
          <w:szCs w:val="24"/>
        </w:rPr>
        <w:t>Makarudze and Another v Bungu and Two Others</w:t>
      </w:r>
      <w:r>
        <w:rPr>
          <w:rStyle w:val="FootnoteReference"/>
          <w:rFonts w:ascii="Times New Roman" w:hAnsi="Times New Roman" w:cs="Times New Roman"/>
          <w:i/>
          <w:sz w:val="24"/>
          <w:szCs w:val="24"/>
        </w:rPr>
        <w:footnoteReference w:id="16"/>
      </w:r>
      <w:r>
        <w:rPr>
          <w:rFonts w:ascii="Times New Roman" w:hAnsi="Times New Roman" w:cs="Times New Roman"/>
          <w:sz w:val="24"/>
          <w:szCs w:val="24"/>
        </w:rPr>
        <w:t>, MAFUSIRE J made the following pertinent observations about domestic remedies:</w:t>
      </w:r>
    </w:p>
    <w:p w14:paraId="070C1B7C" w14:textId="2BA2B834" w:rsidR="006A48A0" w:rsidRPr="006C29A4" w:rsidRDefault="006A48A0" w:rsidP="006A48A0">
      <w:pPr>
        <w:spacing w:after="0"/>
        <w:ind w:left="1134"/>
        <w:jc w:val="both"/>
        <w:rPr>
          <w:rFonts w:ascii="Times New Roman" w:hAnsi="Times New Roman" w:cs="Times New Roman"/>
          <w:lang w:val="en-ZW"/>
        </w:rPr>
      </w:pPr>
      <w:r>
        <w:rPr>
          <w:rFonts w:ascii="Times New Roman" w:hAnsi="Times New Roman" w:cs="Times New Roman"/>
          <w:lang w:val="en-ZW"/>
        </w:rPr>
        <w:t>“</w:t>
      </w:r>
      <w:r w:rsidRPr="006C29A4">
        <w:rPr>
          <w:rFonts w:ascii="Times New Roman" w:hAnsi="Times New Roman" w:cs="Times New Roman"/>
          <w:lang w:val="en-ZW"/>
        </w:rPr>
        <w:t xml:space="preserve">The general view is that it is discouraged for a litigant to rush to this court before he or she has exhausted such domestic procedures or remedies as may be available to his or her situation in any given case. He or she is expected to obtain relief through the available domestic channels unless there are good reasons for not doing so: see </w:t>
      </w:r>
      <w:r w:rsidRPr="006C29A4">
        <w:rPr>
          <w:rFonts w:ascii="Times New Roman" w:hAnsi="Times New Roman" w:cs="Times New Roman"/>
          <w:i/>
          <w:lang w:val="en-ZW"/>
        </w:rPr>
        <w:t xml:space="preserve">Nokuthula Moyo </w:t>
      </w:r>
      <w:r w:rsidRPr="006C29A4">
        <w:rPr>
          <w:rFonts w:ascii="Times New Roman" w:hAnsi="Times New Roman" w:cs="Times New Roman"/>
          <w:lang w:val="en-ZW"/>
        </w:rPr>
        <w:t xml:space="preserve">v </w:t>
      </w:r>
      <w:r w:rsidRPr="006C29A4">
        <w:rPr>
          <w:rFonts w:ascii="Times New Roman" w:hAnsi="Times New Roman" w:cs="Times New Roman"/>
          <w:i/>
          <w:lang w:val="en-ZW"/>
        </w:rPr>
        <w:t>Norman Gwindingwi NO &amp; Anor</w:t>
      </w:r>
      <w:r w:rsidRPr="006C29A4">
        <w:rPr>
          <w:rFonts w:ascii="Times New Roman" w:hAnsi="Times New Roman" w:cs="Times New Roman"/>
          <w:vertAlign w:val="superscript"/>
          <w:lang w:val="en-ZW"/>
        </w:rPr>
        <w:footnoteReference w:id="17"/>
      </w:r>
      <w:r w:rsidRPr="006C29A4">
        <w:rPr>
          <w:rFonts w:ascii="Times New Roman" w:hAnsi="Times New Roman" w:cs="Times New Roman"/>
          <w:lang w:val="en-ZW"/>
        </w:rPr>
        <w:t xml:space="preserve">. </w:t>
      </w:r>
    </w:p>
    <w:p w14:paraId="768725FB" w14:textId="03FAD836" w:rsidR="006A48A0" w:rsidRDefault="006A48A0" w:rsidP="006A48A0">
      <w:pPr>
        <w:spacing w:after="0"/>
        <w:ind w:left="1134"/>
        <w:jc w:val="both"/>
        <w:rPr>
          <w:rFonts w:ascii="Times New Roman" w:hAnsi="Times New Roman" w:cs="Times New Roman"/>
          <w:lang w:val="en-ZW"/>
        </w:rPr>
      </w:pPr>
      <w:r w:rsidRPr="006A48A0">
        <w:rPr>
          <w:rFonts w:ascii="Times New Roman" w:hAnsi="Times New Roman" w:cs="Times New Roman"/>
          <w:u w:val="single"/>
          <w:lang w:val="en-ZW"/>
        </w:rPr>
        <w:t>However, it is also the general view that the domestic remedies must be able to provide effective redress to the complaint</w:t>
      </w:r>
      <w:r w:rsidRPr="006C29A4">
        <w:rPr>
          <w:rFonts w:ascii="Times New Roman" w:hAnsi="Times New Roman" w:cs="Times New Roman"/>
          <w:lang w:val="en-ZW"/>
        </w:rPr>
        <w:t xml:space="preserve">. Furthermore, the alleged unlawfulness complained of must not be such as would have undermined the domestic remedies themselves: see </w:t>
      </w:r>
      <w:r w:rsidRPr="006C29A4">
        <w:rPr>
          <w:rFonts w:ascii="Times New Roman" w:hAnsi="Times New Roman" w:cs="Times New Roman"/>
          <w:i/>
          <w:lang w:val="en-ZW"/>
        </w:rPr>
        <w:t xml:space="preserve">Tutani </w:t>
      </w:r>
      <w:r w:rsidRPr="006C29A4">
        <w:rPr>
          <w:rFonts w:ascii="Times New Roman" w:hAnsi="Times New Roman" w:cs="Times New Roman"/>
          <w:lang w:val="en-ZW"/>
        </w:rPr>
        <w:t>v</w:t>
      </w:r>
      <w:r w:rsidRPr="006C29A4">
        <w:rPr>
          <w:rFonts w:ascii="Times New Roman" w:hAnsi="Times New Roman" w:cs="Times New Roman"/>
          <w:i/>
          <w:lang w:val="en-ZW"/>
        </w:rPr>
        <w:t xml:space="preserve"> Minister of Labour &amp; Ors</w:t>
      </w:r>
      <w:r w:rsidRPr="006C29A4">
        <w:rPr>
          <w:rFonts w:ascii="Times New Roman" w:hAnsi="Times New Roman" w:cs="Times New Roman"/>
          <w:vertAlign w:val="superscript"/>
          <w:lang w:val="en-ZW"/>
        </w:rPr>
        <w:footnoteReference w:id="18"/>
      </w:r>
      <w:r w:rsidRPr="006C29A4">
        <w:rPr>
          <w:rFonts w:ascii="Times New Roman" w:hAnsi="Times New Roman" w:cs="Times New Roman"/>
          <w:lang w:val="en-ZW"/>
        </w:rPr>
        <w:t xml:space="preserve">; </w:t>
      </w:r>
      <w:r w:rsidRPr="006C29A4">
        <w:rPr>
          <w:rFonts w:ascii="Times New Roman" w:hAnsi="Times New Roman" w:cs="Times New Roman"/>
          <w:i/>
          <w:lang w:val="en-ZW"/>
        </w:rPr>
        <w:t xml:space="preserve">Moyo </w:t>
      </w:r>
      <w:r w:rsidRPr="006C29A4">
        <w:rPr>
          <w:rFonts w:ascii="Times New Roman" w:hAnsi="Times New Roman" w:cs="Times New Roman"/>
          <w:lang w:val="en-ZW"/>
        </w:rPr>
        <w:t>v</w:t>
      </w:r>
      <w:r w:rsidRPr="006C29A4">
        <w:rPr>
          <w:rFonts w:ascii="Times New Roman" w:hAnsi="Times New Roman" w:cs="Times New Roman"/>
          <w:i/>
          <w:lang w:val="en-ZW"/>
        </w:rPr>
        <w:t xml:space="preserve"> Forestry Commission</w:t>
      </w:r>
      <w:r w:rsidRPr="006C29A4">
        <w:rPr>
          <w:rFonts w:ascii="Times New Roman" w:hAnsi="Times New Roman" w:cs="Times New Roman"/>
          <w:vertAlign w:val="superscript"/>
          <w:lang w:val="en-ZW"/>
        </w:rPr>
        <w:footnoteReference w:id="19"/>
      </w:r>
      <w:r w:rsidRPr="006C29A4">
        <w:rPr>
          <w:rFonts w:ascii="Times New Roman" w:hAnsi="Times New Roman" w:cs="Times New Roman"/>
          <w:lang w:val="en-ZW"/>
        </w:rPr>
        <w:t xml:space="preserve"> and </w:t>
      </w:r>
      <w:r w:rsidRPr="006C29A4">
        <w:rPr>
          <w:rFonts w:ascii="Times New Roman" w:hAnsi="Times New Roman" w:cs="Times New Roman"/>
          <w:i/>
          <w:lang w:val="en-ZW"/>
        </w:rPr>
        <w:t xml:space="preserve">Musandu </w:t>
      </w:r>
      <w:r w:rsidRPr="006C29A4">
        <w:rPr>
          <w:rFonts w:ascii="Times New Roman" w:hAnsi="Times New Roman" w:cs="Times New Roman"/>
          <w:lang w:val="en-ZW"/>
        </w:rPr>
        <w:t>v</w:t>
      </w:r>
      <w:r w:rsidRPr="006C29A4">
        <w:rPr>
          <w:rFonts w:ascii="Times New Roman" w:hAnsi="Times New Roman" w:cs="Times New Roman"/>
          <w:i/>
          <w:lang w:val="en-ZW"/>
        </w:rPr>
        <w:t xml:space="preserve"> Chairperson of Cresta Lodge Disciplinary and Grievance Committee</w:t>
      </w:r>
      <w:r w:rsidRPr="006C29A4">
        <w:rPr>
          <w:rFonts w:ascii="Times New Roman" w:hAnsi="Times New Roman" w:cs="Times New Roman"/>
          <w:vertAlign w:val="superscript"/>
          <w:lang w:val="en-ZW"/>
        </w:rPr>
        <w:footnoteReference w:id="20"/>
      </w:r>
      <w:r w:rsidRPr="006C29A4">
        <w:rPr>
          <w:rFonts w:ascii="Times New Roman" w:hAnsi="Times New Roman" w:cs="Times New Roman"/>
          <w:lang w:val="en-ZW"/>
        </w:rPr>
        <w:t xml:space="preserve">. </w:t>
      </w:r>
      <w:r w:rsidRPr="006A48A0">
        <w:rPr>
          <w:rFonts w:ascii="Times New Roman" w:hAnsi="Times New Roman" w:cs="Times New Roman"/>
          <w:u w:val="single"/>
          <w:lang w:val="en-ZW"/>
        </w:rPr>
        <w:t xml:space="preserve">The court will not insist on an applicant first exhausting domestic remedies where they do not confer better and cheaper benefits: </w:t>
      </w:r>
      <w:r w:rsidRPr="006A48A0">
        <w:rPr>
          <w:rFonts w:ascii="Times New Roman" w:hAnsi="Times New Roman" w:cs="Times New Roman"/>
          <w:i/>
          <w:u w:val="single"/>
          <w:lang w:val="en-ZW"/>
        </w:rPr>
        <w:t xml:space="preserve">Moyo’s </w:t>
      </w:r>
      <w:r w:rsidRPr="006A48A0">
        <w:rPr>
          <w:rFonts w:ascii="Times New Roman" w:hAnsi="Times New Roman" w:cs="Times New Roman"/>
          <w:u w:val="single"/>
          <w:lang w:val="en-ZW"/>
        </w:rPr>
        <w:t xml:space="preserve">case, </w:t>
      </w:r>
      <w:r w:rsidRPr="006A48A0">
        <w:rPr>
          <w:rFonts w:ascii="Times New Roman" w:hAnsi="Times New Roman" w:cs="Times New Roman"/>
          <w:i/>
          <w:u w:val="single"/>
          <w:lang w:val="en-ZW"/>
        </w:rPr>
        <w:t>supra</w:t>
      </w:r>
      <w:r w:rsidRPr="006A48A0">
        <w:rPr>
          <w:rFonts w:ascii="Times New Roman" w:hAnsi="Times New Roman" w:cs="Times New Roman"/>
          <w:u w:val="single"/>
          <w:lang w:val="en-ZW"/>
        </w:rPr>
        <w:t>, at p 192</w:t>
      </w:r>
      <w:r w:rsidRPr="006C29A4">
        <w:rPr>
          <w:rFonts w:ascii="Times New Roman" w:hAnsi="Times New Roman" w:cs="Times New Roman"/>
          <w:lang w:val="en-ZW"/>
        </w:rPr>
        <w:t>.”</w:t>
      </w:r>
      <w:r>
        <w:rPr>
          <w:rFonts w:ascii="Times New Roman" w:hAnsi="Times New Roman" w:cs="Times New Roman"/>
          <w:lang w:val="en-ZW"/>
        </w:rPr>
        <w:t xml:space="preserve">(Underlining for emphasis). </w:t>
      </w:r>
    </w:p>
    <w:p w14:paraId="58886796" w14:textId="77777777" w:rsidR="006A48A0" w:rsidRPr="006C29A4" w:rsidRDefault="006A48A0" w:rsidP="006A48A0">
      <w:pPr>
        <w:spacing w:after="0"/>
        <w:ind w:left="1134"/>
        <w:jc w:val="both"/>
        <w:rPr>
          <w:rFonts w:ascii="Times New Roman" w:hAnsi="Times New Roman" w:cs="Times New Roman"/>
          <w:lang w:val="en-ZW"/>
        </w:rPr>
      </w:pPr>
    </w:p>
    <w:p w14:paraId="589E0F2F" w14:textId="13E0D52A" w:rsidR="005106C6" w:rsidRDefault="006A48A0" w:rsidP="006A4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observ</w:t>
      </w:r>
      <w:r w:rsidR="008E5F78">
        <w:rPr>
          <w:rFonts w:ascii="Times New Roman" w:hAnsi="Times New Roman" w:cs="Times New Roman"/>
          <w:sz w:val="24"/>
          <w:szCs w:val="24"/>
        </w:rPr>
        <w:t xml:space="preserve">ations are quite apposite. There is no point in insisting on the utilization of domestic remedies that do not accord a litigant </w:t>
      </w:r>
      <w:r w:rsidR="004479A4">
        <w:rPr>
          <w:rFonts w:ascii="Times New Roman" w:hAnsi="Times New Roman" w:cs="Times New Roman"/>
          <w:sz w:val="24"/>
          <w:szCs w:val="24"/>
        </w:rPr>
        <w:t xml:space="preserve">the kind of reprieve that he would summarily obtain through an approach to courts of law. Section 79 (2) of the Act is only </w:t>
      </w:r>
      <w:r w:rsidR="005106C6">
        <w:rPr>
          <w:rFonts w:ascii="Times New Roman" w:hAnsi="Times New Roman" w:cs="Times New Roman"/>
          <w:sz w:val="24"/>
          <w:szCs w:val="24"/>
        </w:rPr>
        <w:t xml:space="preserve">invoked by the Minister if he is of the </w:t>
      </w:r>
      <w:r w:rsidR="008A5944">
        <w:rPr>
          <w:rFonts w:ascii="Times New Roman" w:hAnsi="Times New Roman" w:cs="Times New Roman"/>
          <w:sz w:val="24"/>
          <w:szCs w:val="24"/>
        </w:rPr>
        <w:t xml:space="preserve">considered </w:t>
      </w:r>
      <w:r w:rsidR="005106C6">
        <w:rPr>
          <w:rFonts w:ascii="Times New Roman" w:hAnsi="Times New Roman" w:cs="Times New Roman"/>
          <w:sz w:val="24"/>
          <w:szCs w:val="24"/>
        </w:rPr>
        <w:t>view that the circumstances set out in paragraphs (a) – (c) exist. That provision does not give an aggrieved party the leeway to approach the Registrar. I find no merit in the objection and it is accordingly dismissed.</w:t>
      </w:r>
    </w:p>
    <w:p w14:paraId="5C7F9164" w14:textId="17AA8670" w:rsidR="005106C6" w:rsidRDefault="005106C6" w:rsidP="005106C6">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Lack of Urgency</w:t>
      </w:r>
    </w:p>
    <w:p w14:paraId="7B04FB9D" w14:textId="335E72B1" w:rsidR="008F2351" w:rsidRDefault="004479A4" w:rsidP="00510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06C6">
        <w:rPr>
          <w:rFonts w:ascii="Times New Roman" w:hAnsi="Times New Roman" w:cs="Times New Roman"/>
          <w:sz w:val="24"/>
          <w:szCs w:val="24"/>
        </w:rPr>
        <w:tab/>
      </w:r>
      <w:r w:rsidR="00A60F3E">
        <w:rPr>
          <w:rFonts w:ascii="Times New Roman" w:hAnsi="Times New Roman" w:cs="Times New Roman"/>
          <w:sz w:val="24"/>
          <w:szCs w:val="24"/>
        </w:rPr>
        <w:t xml:space="preserve">Mr </w:t>
      </w:r>
      <w:r w:rsidR="00A60F3E" w:rsidRPr="00A60F3E">
        <w:rPr>
          <w:rFonts w:ascii="Times New Roman" w:hAnsi="Times New Roman" w:cs="Times New Roman"/>
          <w:i/>
          <w:sz w:val="24"/>
          <w:szCs w:val="24"/>
        </w:rPr>
        <w:t>Madhuku</w:t>
      </w:r>
      <w:r w:rsidR="00A60F3E">
        <w:rPr>
          <w:rFonts w:ascii="Times New Roman" w:hAnsi="Times New Roman" w:cs="Times New Roman"/>
          <w:sz w:val="24"/>
          <w:szCs w:val="24"/>
        </w:rPr>
        <w:t xml:space="preserve"> submitted that the matter was not urgent. The applicant did not explain why it did not approach the court around 7 February 2022 when it became clear that there was a dispute between the parties. The applicant had also not demonstrated the prejudice it would suffer if the matter was not dealt with on an urgent basis. Counsel further submitted that the imminence of the registration of the CBA was not the basis of the application. </w:t>
      </w:r>
      <w:r w:rsidR="008F2351">
        <w:rPr>
          <w:rFonts w:ascii="Times New Roman" w:hAnsi="Times New Roman" w:cs="Times New Roman"/>
          <w:sz w:val="24"/>
          <w:szCs w:val="24"/>
        </w:rPr>
        <w:t xml:space="preserve">Rather, it was premised on the need to have the dispute resolved expeditiously. Mr </w:t>
      </w:r>
      <w:r w:rsidR="008F2351" w:rsidRPr="008F2351">
        <w:rPr>
          <w:rFonts w:ascii="Times New Roman" w:hAnsi="Times New Roman" w:cs="Times New Roman"/>
          <w:i/>
          <w:sz w:val="24"/>
          <w:szCs w:val="24"/>
        </w:rPr>
        <w:t>Madhuku</w:t>
      </w:r>
      <w:r w:rsidR="008F2351">
        <w:rPr>
          <w:rFonts w:ascii="Times New Roman" w:hAnsi="Times New Roman" w:cs="Times New Roman"/>
          <w:sz w:val="24"/>
          <w:szCs w:val="24"/>
        </w:rPr>
        <w:t xml:space="preserve"> further submitted that urgency was not just confined to the time factor. A matter was also urgent with regards to the consequences that would befall the applicant if the matter was not treated as urgent. </w:t>
      </w:r>
      <w:r w:rsidR="008A5944">
        <w:rPr>
          <w:rFonts w:ascii="Times New Roman" w:hAnsi="Times New Roman" w:cs="Times New Roman"/>
          <w:sz w:val="24"/>
          <w:szCs w:val="24"/>
        </w:rPr>
        <w:t xml:space="preserve">The applicant had not alluded to any such adverse consequences. </w:t>
      </w:r>
    </w:p>
    <w:p w14:paraId="6EBD0B5A" w14:textId="73CC98B7" w:rsidR="006A48A0" w:rsidRPr="00E20332" w:rsidRDefault="008F2351" w:rsidP="00510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reply, Mr </w:t>
      </w:r>
      <w:r w:rsidRPr="008F2351">
        <w:rPr>
          <w:rFonts w:ascii="Times New Roman" w:hAnsi="Times New Roman" w:cs="Times New Roman"/>
          <w:i/>
          <w:sz w:val="24"/>
          <w:szCs w:val="24"/>
        </w:rPr>
        <w:t>Magogo</w:t>
      </w:r>
      <w:r>
        <w:rPr>
          <w:rFonts w:ascii="Times New Roman" w:hAnsi="Times New Roman" w:cs="Times New Roman"/>
          <w:sz w:val="24"/>
          <w:szCs w:val="24"/>
        </w:rPr>
        <w:t xml:space="preserve"> submitted that the urgency of the matter stemmed from the memorandum of 24 March 2024 from the third respondent which advised that the CBA had been concluded, and had since been forwarded to the fourth respondent for gazetting. The applicant could not have acted earlier than that.   </w:t>
      </w:r>
    </w:p>
    <w:p w14:paraId="3031072B" w14:textId="7F5FD85B" w:rsidR="008E5690" w:rsidRPr="008F7939" w:rsidRDefault="008E5690" w:rsidP="008E5690">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en-ZW"/>
        </w:rPr>
      </w:pPr>
      <w:r>
        <w:rPr>
          <w:rFonts w:ascii="Times New Roman" w:eastAsia="Times New Roman" w:hAnsi="Times New Roman" w:cs="Times New Roman"/>
          <w:iCs/>
          <w:color w:val="000000" w:themeColor="text1"/>
          <w:sz w:val="24"/>
          <w:szCs w:val="24"/>
          <w:lang w:eastAsia="en-ZW"/>
        </w:rPr>
        <w:t xml:space="preserve">The question of urgency must </w:t>
      </w:r>
      <w:r w:rsidR="00F60A69">
        <w:rPr>
          <w:rFonts w:ascii="Times New Roman" w:eastAsia="Times New Roman" w:hAnsi="Times New Roman" w:cs="Times New Roman"/>
          <w:iCs/>
          <w:color w:val="000000" w:themeColor="text1"/>
          <w:sz w:val="24"/>
          <w:szCs w:val="24"/>
          <w:lang w:eastAsia="en-ZW"/>
        </w:rPr>
        <w:t xml:space="preserve">be </w:t>
      </w:r>
      <w:r>
        <w:rPr>
          <w:rFonts w:ascii="Times New Roman" w:eastAsia="Times New Roman" w:hAnsi="Times New Roman" w:cs="Times New Roman"/>
          <w:iCs/>
          <w:color w:val="000000" w:themeColor="text1"/>
          <w:sz w:val="24"/>
          <w:szCs w:val="24"/>
          <w:lang w:eastAsia="en-ZW"/>
        </w:rPr>
        <w:t xml:space="preserve">considered in the context of the circumstances surrounding the dispute. These circumstances are peculiar to each case, and for that reason, each case must be considered on its own merits. The </w:t>
      </w:r>
      <w:r w:rsidRPr="00825BB6">
        <w:rPr>
          <w:rFonts w:ascii="Times New Roman" w:eastAsia="Times New Roman" w:hAnsi="Times New Roman" w:cs="Times New Roman"/>
          <w:iCs/>
          <w:color w:val="000000" w:themeColor="text1"/>
          <w:sz w:val="24"/>
          <w:szCs w:val="24"/>
          <w:lang w:eastAsia="en-ZW"/>
        </w:rPr>
        <w:t xml:space="preserve">remarks by </w:t>
      </w:r>
      <w:r w:rsidRPr="0029440F">
        <w:rPr>
          <w:rFonts w:ascii="Times New Roman" w:eastAsia="Times New Roman" w:hAnsi="Times New Roman" w:cs="Times New Roman"/>
          <w:sz w:val="24"/>
          <w:szCs w:val="24"/>
          <w:lang w:eastAsia="en-ZW"/>
        </w:rPr>
        <w:t xml:space="preserve">MAKARAU JP </w:t>
      </w:r>
      <w:r w:rsidRPr="008F7939">
        <w:rPr>
          <w:rFonts w:ascii="Times New Roman" w:eastAsia="Times New Roman" w:hAnsi="Times New Roman" w:cs="Times New Roman"/>
          <w:color w:val="000000" w:themeColor="text1"/>
          <w:sz w:val="24"/>
          <w:szCs w:val="24"/>
          <w:lang w:eastAsia="en-ZW"/>
        </w:rPr>
        <w:t>(as she then was) in </w:t>
      </w:r>
      <w:r w:rsidRPr="008F7939">
        <w:rPr>
          <w:rFonts w:ascii="Times New Roman" w:eastAsia="Times New Roman" w:hAnsi="Times New Roman" w:cs="Times New Roman"/>
          <w:i/>
          <w:iCs/>
          <w:color w:val="000000" w:themeColor="text1"/>
          <w:sz w:val="24"/>
          <w:szCs w:val="24"/>
          <w:lang w:eastAsia="en-ZW"/>
        </w:rPr>
        <w:t>Document Support Centre (Pvt) Ltd</w:t>
      </w:r>
      <w:r w:rsidRPr="008F7939">
        <w:rPr>
          <w:rFonts w:ascii="Times New Roman" w:eastAsia="Times New Roman" w:hAnsi="Times New Roman" w:cs="Times New Roman"/>
          <w:color w:val="000000" w:themeColor="text1"/>
          <w:sz w:val="24"/>
          <w:szCs w:val="24"/>
          <w:lang w:eastAsia="en-ZW"/>
        </w:rPr>
        <w:t> v </w:t>
      </w:r>
      <w:r w:rsidRPr="008F7939">
        <w:rPr>
          <w:rFonts w:ascii="Times New Roman" w:eastAsia="Times New Roman" w:hAnsi="Times New Roman" w:cs="Times New Roman"/>
          <w:i/>
          <w:iCs/>
          <w:color w:val="000000" w:themeColor="text1"/>
          <w:sz w:val="24"/>
          <w:szCs w:val="24"/>
          <w:lang w:eastAsia="en-ZW"/>
        </w:rPr>
        <w:t>Mapuvire</w:t>
      </w:r>
      <w:r w:rsidRPr="008F7939">
        <w:rPr>
          <w:rStyle w:val="FootnoteReference"/>
          <w:rFonts w:ascii="Times New Roman" w:eastAsia="Times New Roman" w:hAnsi="Times New Roman" w:cs="Times New Roman"/>
          <w:i/>
          <w:iCs/>
          <w:color w:val="000000" w:themeColor="text1"/>
          <w:sz w:val="24"/>
          <w:szCs w:val="24"/>
          <w:lang w:eastAsia="en-ZW"/>
        </w:rPr>
        <w:footnoteReference w:id="21"/>
      </w:r>
      <w:r w:rsidRPr="008F7939">
        <w:rPr>
          <w:rFonts w:ascii="Times New Roman" w:eastAsia="Times New Roman" w:hAnsi="Times New Roman" w:cs="Times New Roman"/>
          <w:color w:val="000000" w:themeColor="text1"/>
          <w:sz w:val="24"/>
          <w:szCs w:val="24"/>
          <w:lang w:eastAsia="en-ZW"/>
        </w:rPr>
        <w:t xml:space="preserve">  </w:t>
      </w:r>
      <w:r>
        <w:rPr>
          <w:rFonts w:ascii="Times New Roman" w:eastAsia="Times New Roman" w:hAnsi="Times New Roman" w:cs="Times New Roman"/>
          <w:color w:val="000000" w:themeColor="text1"/>
          <w:sz w:val="24"/>
          <w:szCs w:val="24"/>
          <w:lang w:eastAsia="en-ZW"/>
        </w:rPr>
        <w:t>are apposite in that regard. She said</w:t>
      </w:r>
      <w:r w:rsidRPr="008F7939">
        <w:rPr>
          <w:rFonts w:ascii="Times New Roman" w:eastAsia="Times New Roman" w:hAnsi="Times New Roman" w:cs="Times New Roman"/>
          <w:color w:val="000000" w:themeColor="text1"/>
          <w:sz w:val="24"/>
          <w:szCs w:val="24"/>
          <w:lang w:eastAsia="en-ZW"/>
        </w:rPr>
        <w:t>:</w:t>
      </w:r>
    </w:p>
    <w:p w14:paraId="63ECD88E" w14:textId="77777777" w:rsidR="008E5690" w:rsidRPr="008F7939" w:rsidRDefault="008E5690" w:rsidP="008E5690">
      <w:pPr>
        <w:shd w:val="clear" w:color="auto" w:fill="FFFFFF"/>
        <w:spacing w:after="100" w:afterAutospacing="1" w:line="240" w:lineRule="auto"/>
        <w:ind w:left="720"/>
        <w:jc w:val="both"/>
        <w:rPr>
          <w:rFonts w:ascii="Times New Roman" w:eastAsia="Times New Roman" w:hAnsi="Times New Roman" w:cs="Times New Roman"/>
          <w:color w:val="000000" w:themeColor="text1"/>
          <w:sz w:val="21"/>
          <w:szCs w:val="21"/>
          <w:lang w:eastAsia="en-ZW"/>
        </w:rPr>
      </w:pPr>
      <w:r w:rsidRPr="008F7939">
        <w:rPr>
          <w:rFonts w:ascii="Times New Roman" w:eastAsia="Times New Roman" w:hAnsi="Times New Roman" w:cs="Times New Roman"/>
          <w:color w:val="000000" w:themeColor="text1"/>
          <w:sz w:val="21"/>
          <w:szCs w:val="21"/>
          <w:lang w:eastAsia="en-ZW"/>
        </w:rPr>
        <w:t>“………In my view, 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 </w:t>
      </w:r>
    </w:p>
    <w:p w14:paraId="1403A4F5" w14:textId="77777777" w:rsidR="00450BAE" w:rsidRDefault="008E5690" w:rsidP="008E5690">
      <w:pPr>
        <w:spacing w:after="0" w:line="360" w:lineRule="auto"/>
        <w:ind w:firstLine="720"/>
        <w:jc w:val="both"/>
        <w:rPr>
          <w:rFonts w:ascii="Times New Roman" w:eastAsia="Times New Roman" w:hAnsi="Times New Roman" w:cs="Times New Roman"/>
          <w:color w:val="000000" w:themeColor="text1"/>
          <w:sz w:val="24"/>
          <w:szCs w:val="24"/>
          <w:lang w:eastAsia="en-ZW"/>
        </w:rPr>
      </w:pPr>
      <w:r w:rsidRPr="008F7939">
        <w:rPr>
          <w:rFonts w:ascii="Times New Roman" w:eastAsia="Times New Roman" w:hAnsi="Times New Roman" w:cs="Times New Roman"/>
          <w:color w:val="000000" w:themeColor="text1"/>
          <w:sz w:val="24"/>
          <w:szCs w:val="24"/>
          <w:lang w:eastAsia="en-ZW"/>
        </w:rPr>
        <w:t xml:space="preserve">I associate myself with the </w:t>
      </w:r>
      <w:r>
        <w:rPr>
          <w:rFonts w:ascii="Times New Roman" w:eastAsia="Times New Roman" w:hAnsi="Times New Roman" w:cs="Times New Roman"/>
          <w:color w:val="000000" w:themeColor="text1"/>
          <w:sz w:val="24"/>
          <w:szCs w:val="24"/>
          <w:lang w:eastAsia="en-ZW"/>
        </w:rPr>
        <w:t xml:space="preserve">views </w:t>
      </w:r>
      <w:r w:rsidRPr="008F7939">
        <w:rPr>
          <w:rFonts w:ascii="Times New Roman" w:eastAsia="Times New Roman" w:hAnsi="Times New Roman" w:cs="Times New Roman"/>
          <w:color w:val="000000" w:themeColor="text1"/>
          <w:sz w:val="24"/>
          <w:szCs w:val="24"/>
          <w:lang w:eastAsia="en-ZW"/>
        </w:rPr>
        <w:t xml:space="preserve">of the learned judge. The </w:t>
      </w:r>
      <w:r w:rsidR="00450BAE">
        <w:rPr>
          <w:rFonts w:ascii="Times New Roman" w:eastAsia="Times New Roman" w:hAnsi="Times New Roman" w:cs="Times New Roman"/>
          <w:color w:val="000000" w:themeColor="text1"/>
          <w:sz w:val="24"/>
          <w:szCs w:val="24"/>
          <w:lang w:eastAsia="en-ZW"/>
        </w:rPr>
        <w:t xml:space="preserve">court </w:t>
      </w:r>
      <w:r>
        <w:rPr>
          <w:rFonts w:ascii="Times New Roman" w:eastAsia="Times New Roman" w:hAnsi="Times New Roman" w:cs="Times New Roman"/>
          <w:color w:val="000000" w:themeColor="text1"/>
          <w:sz w:val="24"/>
          <w:szCs w:val="24"/>
          <w:lang w:eastAsia="en-ZW"/>
        </w:rPr>
        <w:t xml:space="preserve">will not </w:t>
      </w:r>
      <w:r w:rsidRPr="008F7939">
        <w:rPr>
          <w:rFonts w:ascii="Times New Roman" w:eastAsia="Times New Roman" w:hAnsi="Times New Roman" w:cs="Times New Roman"/>
          <w:color w:val="000000" w:themeColor="text1"/>
          <w:sz w:val="24"/>
          <w:szCs w:val="24"/>
          <w:lang w:eastAsia="en-ZW"/>
        </w:rPr>
        <w:t>ignore the consequences attendant upon a failure to deal with a matter on an urgent basis. Of course</w:t>
      </w:r>
      <w:r>
        <w:rPr>
          <w:rFonts w:ascii="Times New Roman" w:eastAsia="Times New Roman" w:hAnsi="Times New Roman" w:cs="Times New Roman"/>
          <w:color w:val="000000" w:themeColor="text1"/>
          <w:sz w:val="24"/>
          <w:szCs w:val="24"/>
          <w:lang w:eastAsia="en-ZW"/>
        </w:rPr>
        <w:t>,</w:t>
      </w:r>
      <w:r w:rsidRPr="008F7939">
        <w:rPr>
          <w:rFonts w:ascii="Times New Roman" w:eastAsia="Times New Roman" w:hAnsi="Times New Roman" w:cs="Times New Roman"/>
          <w:color w:val="000000" w:themeColor="text1"/>
          <w:sz w:val="24"/>
          <w:szCs w:val="24"/>
          <w:lang w:eastAsia="en-ZW"/>
        </w:rPr>
        <w:t xml:space="preserve"> adverse consequences to the applicant’s cause will not save an applicant where it is clear that the </w:t>
      </w:r>
      <w:r>
        <w:rPr>
          <w:rFonts w:ascii="Times New Roman" w:eastAsia="Times New Roman" w:hAnsi="Times New Roman" w:cs="Times New Roman"/>
          <w:color w:val="000000" w:themeColor="text1"/>
          <w:sz w:val="24"/>
          <w:szCs w:val="24"/>
          <w:lang w:eastAsia="en-ZW"/>
        </w:rPr>
        <w:t xml:space="preserve">applicant </w:t>
      </w:r>
      <w:r w:rsidRPr="008F7939">
        <w:rPr>
          <w:rFonts w:ascii="Times New Roman" w:eastAsia="Times New Roman" w:hAnsi="Times New Roman" w:cs="Times New Roman"/>
          <w:color w:val="000000" w:themeColor="text1"/>
          <w:sz w:val="24"/>
          <w:szCs w:val="24"/>
          <w:lang w:eastAsia="en-ZW"/>
        </w:rPr>
        <w:t>indeed sat on its laurels</w:t>
      </w:r>
      <w:r>
        <w:rPr>
          <w:rFonts w:ascii="Times New Roman" w:eastAsia="Times New Roman" w:hAnsi="Times New Roman" w:cs="Times New Roman"/>
          <w:color w:val="000000" w:themeColor="text1"/>
          <w:sz w:val="24"/>
          <w:szCs w:val="24"/>
          <w:lang w:eastAsia="en-ZW"/>
        </w:rPr>
        <w:t xml:space="preserve"> and was only jolted into action by the impending harm. That cannot be said of the applicant in this case. </w:t>
      </w:r>
    </w:p>
    <w:p w14:paraId="76B561BB" w14:textId="71468E58" w:rsidR="008E5690" w:rsidRDefault="008E5690" w:rsidP="008E5690">
      <w:pPr>
        <w:spacing w:after="0" w:line="360" w:lineRule="auto"/>
        <w:ind w:firstLine="720"/>
        <w:jc w:val="both"/>
        <w:rPr>
          <w:rFonts w:ascii="Times New Roman" w:eastAsia="Times New Roman" w:hAnsi="Times New Roman" w:cs="Times New Roman"/>
          <w:color w:val="000000" w:themeColor="text1"/>
          <w:sz w:val="24"/>
          <w:szCs w:val="24"/>
          <w:lang w:eastAsia="en-ZW"/>
        </w:rPr>
      </w:pPr>
      <w:r>
        <w:rPr>
          <w:rFonts w:ascii="Times New Roman" w:eastAsia="Times New Roman" w:hAnsi="Times New Roman" w:cs="Times New Roman"/>
          <w:color w:val="000000" w:themeColor="text1"/>
          <w:sz w:val="24"/>
          <w:szCs w:val="24"/>
          <w:lang w:eastAsia="en-ZW"/>
        </w:rPr>
        <w:t>Paragraph 1 of the certificate of urgency as read with paragraph 25 of the founding affidavit shows that what triggered an approach to this court on an urgent basis was the memorandum of 24 March 2022. Prior to that date, there was communication between the applicant and third respondent in connection with the dispute. The third respondent on its part also engaged the fourth respondent and copied such communication to the applicant. It certainly came as a shock for the applicant to receive communication advising of the conclusion of the CBA when all along it was waiting for the resolution of matters that would pave way for the commencement of the collective bargaining negotiations.</w:t>
      </w:r>
    </w:p>
    <w:p w14:paraId="7B3A2F07" w14:textId="726C655D" w:rsidR="00410782" w:rsidRDefault="008E5690" w:rsidP="008E5690">
      <w:pPr>
        <w:spacing w:after="0" w:line="360" w:lineRule="auto"/>
        <w:ind w:firstLine="720"/>
        <w:jc w:val="both"/>
        <w:rPr>
          <w:rFonts w:ascii="Times New Roman" w:eastAsia="Times New Roman" w:hAnsi="Times New Roman" w:cs="Times New Roman"/>
          <w:color w:val="000000" w:themeColor="text1"/>
          <w:sz w:val="24"/>
          <w:szCs w:val="24"/>
          <w:lang w:eastAsia="en-ZW"/>
        </w:rPr>
      </w:pPr>
      <w:r>
        <w:rPr>
          <w:rFonts w:ascii="Times New Roman" w:eastAsia="Times New Roman" w:hAnsi="Times New Roman" w:cs="Times New Roman"/>
          <w:color w:val="000000" w:themeColor="text1"/>
          <w:sz w:val="24"/>
          <w:szCs w:val="24"/>
          <w:lang w:eastAsia="en-ZW"/>
        </w:rPr>
        <w:t xml:space="preserve">This court is satisfied that the matter is urgent and that the applicant did not sit on its laurels. It approached the court </w:t>
      </w:r>
      <w:r w:rsidR="00A94FBB">
        <w:rPr>
          <w:rFonts w:ascii="Times New Roman" w:eastAsia="Times New Roman" w:hAnsi="Times New Roman" w:cs="Times New Roman"/>
          <w:color w:val="000000" w:themeColor="text1"/>
          <w:sz w:val="24"/>
          <w:szCs w:val="24"/>
          <w:lang w:eastAsia="en-ZW"/>
        </w:rPr>
        <w:t>immediately upon real</w:t>
      </w:r>
      <w:r w:rsidR="00DE07DE">
        <w:rPr>
          <w:rFonts w:ascii="Times New Roman" w:eastAsia="Times New Roman" w:hAnsi="Times New Roman" w:cs="Times New Roman"/>
          <w:color w:val="000000" w:themeColor="text1"/>
          <w:sz w:val="24"/>
          <w:szCs w:val="24"/>
          <w:lang w:eastAsia="en-ZW"/>
        </w:rPr>
        <w:t>i</w:t>
      </w:r>
      <w:r w:rsidR="00A94FBB">
        <w:rPr>
          <w:rFonts w:ascii="Times New Roman" w:eastAsia="Times New Roman" w:hAnsi="Times New Roman" w:cs="Times New Roman"/>
          <w:color w:val="000000" w:themeColor="text1"/>
          <w:sz w:val="24"/>
          <w:szCs w:val="24"/>
          <w:lang w:eastAsia="en-ZW"/>
        </w:rPr>
        <w:t xml:space="preserve">sing the CBA had been placed before the fourth respondent for registration and gazetting. If this matter is not dealt with urgently, then the impugned CBA will be registered before the applicant’s concerns are addressed. The preliminary point has no merit and is accordingly dismissed. </w:t>
      </w:r>
    </w:p>
    <w:p w14:paraId="176624D1" w14:textId="449F113C" w:rsidR="00A94FBB" w:rsidRDefault="00A94FBB" w:rsidP="00A94FBB">
      <w:pPr>
        <w:spacing w:after="0" w:line="360" w:lineRule="auto"/>
        <w:jc w:val="both"/>
        <w:rPr>
          <w:rFonts w:ascii="Times New Roman" w:eastAsia="Times New Roman" w:hAnsi="Times New Roman" w:cs="Times New Roman"/>
          <w:b/>
          <w:color w:val="000000" w:themeColor="text1"/>
          <w:sz w:val="24"/>
          <w:szCs w:val="24"/>
          <w:lang w:eastAsia="en-ZW"/>
        </w:rPr>
      </w:pPr>
      <w:r w:rsidRPr="00A94FBB">
        <w:rPr>
          <w:rFonts w:ascii="Times New Roman" w:eastAsia="Times New Roman" w:hAnsi="Times New Roman" w:cs="Times New Roman"/>
          <w:b/>
          <w:color w:val="000000" w:themeColor="text1"/>
          <w:sz w:val="24"/>
          <w:szCs w:val="24"/>
          <w:lang w:eastAsia="en-ZW"/>
        </w:rPr>
        <w:t xml:space="preserve">MERITS </w:t>
      </w:r>
    </w:p>
    <w:p w14:paraId="04B11420" w14:textId="6FA1539B" w:rsidR="00A94FBB" w:rsidRPr="00A94FBB" w:rsidRDefault="00A94FBB" w:rsidP="00A94FBB">
      <w:pPr>
        <w:spacing w:after="0" w:line="360" w:lineRule="auto"/>
        <w:ind w:firstLine="720"/>
        <w:jc w:val="both"/>
        <w:rPr>
          <w:rFonts w:ascii="Times New Roman" w:hAnsi="Times New Roman" w:cs="Times New Roman"/>
          <w:sz w:val="24"/>
          <w:szCs w:val="24"/>
        </w:rPr>
      </w:pPr>
      <w:r w:rsidRPr="00507CCA">
        <w:rPr>
          <w:rFonts w:ascii="Times New Roman" w:eastAsia="Times New Roman" w:hAnsi="Times New Roman" w:cs="Times New Roman"/>
          <w:color w:val="000000" w:themeColor="text1"/>
          <w:sz w:val="24"/>
          <w:szCs w:val="24"/>
          <w:lang w:eastAsia="en-ZW"/>
        </w:rPr>
        <w:t>The purpose of an interdict was set out in</w:t>
      </w:r>
      <w:r>
        <w:rPr>
          <w:rFonts w:ascii="Times New Roman" w:eastAsia="Times New Roman" w:hAnsi="Times New Roman" w:cs="Times New Roman"/>
          <w:b/>
          <w:color w:val="000000" w:themeColor="text1"/>
          <w:sz w:val="24"/>
          <w:szCs w:val="24"/>
          <w:lang w:eastAsia="en-ZW"/>
        </w:rPr>
        <w:t xml:space="preserve"> </w:t>
      </w:r>
      <w:r w:rsidRPr="00A94FBB">
        <w:rPr>
          <w:rFonts w:ascii="Times New Roman" w:hAnsi="Times New Roman" w:cs="Times New Roman"/>
          <w:i/>
          <w:sz w:val="24"/>
          <w:szCs w:val="24"/>
        </w:rPr>
        <w:t xml:space="preserve">Mayor Logistics (Pvt) Ltd </w:t>
      </w:r>
      <w:r w:rsidRPr="008A2D0A">
        <w:rPr>
          <w:rFonts w:ascii="Times New Roman" w:hAnsi="Times New Roman" w:cs="Times New Roman"/>
          <w:sz w:val="24"/>
          <w:szCs w:val="24"/>
        </w:rPr>
        <w:t>v</w:t>
      </w:r>
      <w:r w:rsidRPr="00A94FBB">
        <w:rPr>
          <w:rFonts w:ascii="Times New Roman" w:hAnsi="Times New Roman" w:cs="Times New Roman"/>
          <w:i/>
          <w:sz w:val="24"/>
          <w:szCs w:val="24"/>
        </w:rPr>
        <w:t xml:space="preserve"> </w:t>
      </w:r>
      <w:r w:rsidR="008A2D0A" w:rsidRPr="00A94FBB">
        <w:rPr>
          <w:rFonts w:ascii="Times New Roman" w:hAnsi="Times New Roman" w:cs="Times New Roman"/>
          <w:i/>
          <w:sz w:val="24"/>
          <w:szCs w:val="24"/>
        </w:rPr>
        <w:t>Zimbabwe Revenue</w:t>
      </w:r>
      <w:r w:rsidRPr="00A94FBB">
        <w:rPr>
          <w:rFonts w:ascii="Times New Roman" w:hAnsi="Times New Roman" w:cs="Times New Roman"/>
          <w:i/>
          <w:sz w:val="24"/>
          <w:szCs w:val="24"/>
        </w:rPr>
        <w:t xml:space="preserve">     Authority</w:t>
      </w:r>
      <w:r w:rsidRPr="00A94FBB">
        <w:rPr>
          <w:rFonts w:ascii="Times New Roman" w:hAnsi="Times New Roman" w:cs="Times New Roman"/>
          <w:b/>
          <w:i/>
          <w:sz w:val="24"/>
          <w:szCs w:val="24"/>
          <w:vertAlign w:val="superscript"/>
        </w:rPr>
        <w:footnoteReference w:id="22"/>
      </w:r>
      <w:r w:rsidRPr="00A94FBB">
        <w:rPr>
          <w:rFonts w:ascii="Times New Roman" w:hAnsi="Times New Roman" w:cs="Times New Roman"/>
          <w:b/>
          <w:i/>
          <w:sz w:val="24"/>
          <w:szCs w:val="24"/>
        </w:rPr>
        <w:t xml:space="preserve">, </w:t>
      </w:r>
      <w:r>
        <w:rPr>
          <w:rFonts w:ascii="Times New Roman" w:hAnsi="Times New Roman" w:cs="Times New Roman"/>
          <w:sz w:val="24"/>
          <w:szCs w:val="24"/>
        </w:rPr>
        <w:t xml:space="preserve">where </w:t>
      </w:r>
      <w:r w:rsidRPr="00A94FBB">
        <w:rPr>
          <w:rFonts w:ascii="Times New Roman" w:hAnsi="Times New Roman" w:cs="Times New Roman"/>
          <w:sz w:val="24"/>
          <w:szCs w:val="24"/>
        </w:rPr>
        <w:t xml:space="preserve">MALABA DCJ (as he then was) </w:t>
      </w:r>
      <w:r>
        <w:rPr>
          <w:rFonts w:ascii="Times New Roman" w:hAnsi="Times New Roman" w:cs="Times New Roman"/>
          <w:sz w:val="24"/>
          <w:szCs w:val="24"/>
        </w:rPr>
        <w:t>said</w:t>
      </w:r>
      <w:r w:rsidRPr="00A94FBB">
        <w:rPr>
          <w:rFonts w:ascii="Times New Roman" w:hAnsi="Times New Roman" w:cs="Times New Roman"/>
          <w:sz w:val="24"/>
          <w:szCs w:val="24"/>
        </w:rPr>
        <w:t>:</w:t>
      </w:r>
    </w:p>
    <w:p w14:paraId="185DC427" w14:textId="77777777" w:rsidR="00A94FBB" w:rsidRPr="00A94FBB" w:rsidRDefault="00A94FBB" w:rsidP="00A94FBB">
      <w:pPr>
        <w:spacing w:after="0" w:line="240" w:lineRule="auto"/>
        <w:ind w:left="720"/>
        <w:jc w:val="both"/>
        <w:rPr>
          <w:rFonts w:ascii="Times New Roman" w:hAnsi="Times New Roman" w:cs="Times New Roman"/>
        </w:rPr>
      </w:pPr>
      <w:r w:rsidRPr="00A94FBB">
        <w:rPr>
          <w:rFonts w:ascii="Times New Roman" w:hAnsi="Times New Roman" w:cs="Times New Roman"/>
        </w:rPr>
        <w:t xml:space="preserve">“An interdict is ordinarily granted to prevent continuing or future conduct which is harmful to a </w:t>
      </w:r>
      <w:r w:rsidRPr="00A94FBB">
        <w:rPr>
          <w:rFonts w:ascii="Times New Roman" w:hAnsi="Times New Roman" w:cs="Times New Roman"/>
          <w:i/>
        </w:rPr>
        <w:t>prima facie</w:t>
      </w:r>
      <w:r w:rsidRPr="00A94FBB">
        <w:rPr>
          <w:rFonts w:ascii="Times New Roman" w:hAnsi="Times New Roman" w:cs="Times New Roman"/>
        </w:rPr>
        <w:t xml:space="preserve"> right, pending final determination of that right by a court of law.  Its object is to avoid a situation in which, by the time the right is finally determined in favour of the applicant, it has been injured to the extent that the harm cannot be repaired by the grant of the right.  </w:t>
      </w:r>
    </w:p>
    <w:p w14:paraId="603ACC4E" w14:textId="77777777" w:rsidR="00A94FBB" w:rsidRPr="00A94FBB" w:rsidRDefault="00A94FBB" w:rsidP="00DE07DE">
      <w:pPr>
        <w:spacing w:line="240" w:lineRule="auto"/>
        <w:ind w:left="720"/>
        <w:jc w:val="both"/>
        <w:rPr>
          <w:rFonts w:ascii="Times New Roman" w:hAnsi="Times New Roman" w:cs="Times New Roman"/>
          <w:sz w:val="24"/>
          <w:szCs w:val="24"/>
        </w:rPr>
      </w:pPr>
      <w:r w:rsidRPr="00A94FBB">
        <w:rPr>
          <w:rFonts w:ascii="Times New Roman" w:hAnsi="Times New Roman" w:cs="Times New Roman"/>
        </w:rPr>
        <w:t xml:space="preserve">It is axiomatic that the interdict is for the protection of an existing right.  There has to be proof of the existence of a </w:t>
      </w:r>
      <w:r w:rsidRPr="00A94FBB">
        <w:rPr>
          <w:rFonts w:ascii="Times New Roman" w:hAnsi="Times New Roman" w:cs="Times New Roman"/>
          <w:i/>
        </w:rPr>
        <w:t>prima facie</w:t>
      </w:r>
      <w:r w:rsidRPr="00A94FBB">
        <w:rPr>
          <w:rFonts w:ascii="Times New Roman" w:hAnsi="Times New Roman" w:cs="Times New Roman"/>
        </w:rPr>
        <w:t xml:space="preserve"> right.  </w:t>
      </w:r>
      <w:r w:rsidRPr="00A94FBB">
        <w:rPr>
          <w:rFonts w:ascii="Times New Roman" w:hAnsi="Times New Roman" w:cs="Times New Roman"/>
          <w:u w:val="single"/>
        </w:rPr>
        <w:t xml:space="preserve">It is also axiomatic that the </w:t>
      </w:r>
      <w:r w:rsidRPr="00A94FBB">
        <w:rPr>
          <w:rFonts w:ascii="Times New Roman" w:hAnsi="Times New Roman" w:cs="Times New Roman"/>
          <w:i/>
          <w:u w:val="single"/>
        </w:rPr>
        <w:t>prima facie</w:t>
      </w:r>
      <w:r w:rsidRPr="00A94FBB">
        <w:rPr>
          <w:rFonts w:ascii="Times New Roman" w:hAnsi="Times New Roman" w:cs="Times New Roman"/>
          <w:u w:val="single"/>
        </w:rPr>
        <w:t xml:space="preserve"> right is protected from unlawful conduct which is about to infringe it.  </w:t>
      </w:r>
      <w:r w:rsidRPr="00507CCA">
        <w:rPr>
          <w:rFonts w:ascii="Times New Roman" w:hAnsi="Times New Roman" w:cs="Times New Roman"/>
        </w:rPr>
        <w:t>An interdict cannot be granted against past invasions of a right nor can there be an interdict against lawful conduct</w:t>
      </w:r>
      <w:r w:rsidRPr="00A94FBB">
        <w:rPr>
          <w:rFonts w:ascii="Times New Roman" w:hAnsi="Times New Roman" w:cs="Times New Roman"/>
        </w:rPr>
        <w:t xml:space="preserve">.  </w:t>
      </w:r>
      <w:r w:rsidRPr="00A94FBB">
        <w:rPr>
          <w:rFonts w:ascii="Times New Roman" w:hAnsi="Times New Roman" w:cs="Times New Roman"/>
          <w:i/>
        </w:rPr>
        <w:t xml:space="preserve">Airfield investments (Pvt) Ltd </w:t>
      </w:r>
      <w:r w:rsidRPr="008A2D0A">
        <w:rPr>
          <w:rFonts w:ascii="Times New Roman" w:hAnsi="Times New Roman" w:cs="Times New Roman"/>
        </w:rPr>
        <w:t xml:space="preserve">v </w:t>
      </w:r>
      <w:r w:rsidRPr="00A94FBB">
        <w:rPr>
          <w:rFonts w:ascii="Times New Roman" w:hAnsi="Times New Roman" w:cs="Times New Roman"/>
          <w:i/>
        </w:rPr>
        <w:t>Minister of Lands&amp; Ors</w:t>
      </w:r>
      <w:r w:rsidRPr="00A94FBB">
        <w:rPr>
          <w:rFonts w:ascii="Times New Roman" w:hAnsi="Times New Roman" w:cs="Times New Roman"/>
        </w:rPr>
        <w:t xml:space="preserve"> 2004(1) ZLR 511(S); </w:t>
      </w:r>
      <w:r w:rsidRPr="00A94FBB">
        <w:rPr>
          <w:rFonts w:ascii="Times New Roman" w:hAnsi="Times New Roman" w:cs="Times New Roman"/>
          <w:i/>
        </w:rPr>
        <w:t xml:space="preserve">Stauffer Chemicals </w:t>
      </w:r>
      <w:r w:rsidRPr="008A2D0A">
        <w:rPr>
          <w:rFonts w:ascii="Times New Roman" w:hAnsi="Times New Roman" w:cs="Times New Roman"/>
        </w:rPr>
        <w:t>v</w:t>
      </w:r>
      <w:r w:rsidRPr="00A94FBB">
        <w:rPr>
          <w:rFonts w:ascii="Times New Roman" w:hAnsi="Times New Roman" w:cs="Times New Roman"/>
          <w:i/>
        </w:rPr>
        <w:t xml:space="preserve"> Monsato Company</w:t>
      </w:r>
      <w:r w:rsidRPr="00A94FBB">
        <w:rPr>
          <w:rFonts w:ascii="Times New Roman" w:hAnsi="Times New Roman" w:cs="Times New Roman"/>
        </w:rPr>
        <w:t xml:space="preserve"> 1988(1) SA 895;  </w:t>
      </w:r>
      <w:r w:rsidRPr="00A94FBB">
        <w:rPr>
          <w:rFonts w:ascii="Times New Roman" w:hAnsi="Times New Roman" w:cs="Times New Roman"/>
          <w:i/>
        </w:rPr>
        <w:t xml:space="preserve">Rudolph &amp; Anor </w:t>
      </w:r>
      <w:r w:rsidRPr="008A2D0A">
        <w:rPr>
          <w:rFonts w:ascii="Times New Roman" w:hAnsi="Times New Roman" w:cs="Times New Roman"/>
        </w:rPr>
        <w:t>v</w:t>
      </w:r>
      <w:r w:rsidRPr="00A94FBB">
        <w:rPr>
          <w:rFonts w:ascii="Times New Roman" w:hAnsi="Times New Roman" w:cs="Times New Roman"/>
          <w:i/>
        </w:rPr>
        <w:t xml:space="preserve"> Commissioner for Inland Revenue &amp; Ors</w:t>
      </w:r>
      <w:r w:rsidRPr="00A94FBB">
        <w:rPr>
          <w:rFonts w:ascii="Times New Roman" w:hAnsi="Times New Roman" w:cs="Times New Roman"/>
        </w:rPr>
        <w:t xml:space="preserve"> 1994(3) SA 771.”  (Underlining for emphasis). </w:t>
      </w:r>
      <w:r w:rsidRPr="00A94FBB">
        <w:rPr>
          <w:rFonts w:ascii="Times New Roman" w:hAnsi="Times New Roman" w:cs="Times New Roman"/>
          <w:sz w:val="24"/>
          <w:szCs w:val="24"/>
        </w:rPr>
        <w:t xml:space="preserve"> </w:t>
      </w:r>
    </w:p>
    <w:p w14:paraId="6BB71C4E" w14:textId="774D7147" w:rsidR="00507CCA" w:rsidRDefault="00507CCA" w:rsidP="00AC2002">
      <w:pPr>
        <w:spacing w:after="0" w:line="360" w:lineRule="auto"/>
        <w:ind w:firstLine="720"/>
        <w:jc w:val="both"/>
        <w:rPr>
          <w:rFonts w:ascii="Times New Roman" w:hAnsi="Times New Roman" w:cs="Times New Roman"/>
          <w:sz w:val="24"/>
          <w:szCs w:val="24"/>
        </w:rPr>
      </w:pPr>
      <w:r w:rsidRPr="00507CCA">
        <w:rPr>
          <w:rFonts w:ascii="Times New Roman" w:hAnsi="Times New Roman" w:cs="Times New Roman"/>
          <w:sz w:val="24"/>
          <w:szCs w:val="24"/>
        </w:rPr>
        <w:t xml:space="preserve">It is common cause that </w:t>
      </w:r>
      <w:r>
        <w:rPr>
          <w:rFonts w:ascii="Times New Roman" w:hAnsi="Times New Roman" w:cs="Times New Roman"/>
          <w:sz w:val="24"/>
          <w:szCs w:val="24"/>
        </w:rPr>
        <w:t xml:space="preserve">the applicant is registered as an employer association in terms of the Act. Such registration entitles the applicant to be part of the collective bargaining negotiations involving its membership and trade unions in the Food and Allied Industry (Milling Sub-sector). The birth of the first respondent led to a dispute </w:t>
      </w:r>
      <w:r w:rsidR="00AC2002">
        <w:rPr>
          <w:rFonts w:ascii="Times New Roman" w:hAnsi="Times New Roman" w:cs="Times New Roman"/>
          <w:sz w:val="24"/>
          <w:szCs w:val="24"/>
        </w:rPr>
        <w:t xml:space="preserve">regarding its status on the eve of the collective bargaining negotiations. The dispute necessitated the verification of its membership before the stakeholders in the sector could meet to commence negotiations. </w:t>
      </w:r>
    </w:p>
    <w:p w14:paraId="6DEA8419" w14:textId="774D78EA" w:rsidR="00524957" w:rsidRDefault="00524957" w:rsidP="00524957">
      <w:pPr>
        <w:pStyle w:val="Default"/>
        <w:spacing w:line="360" w:lineRule="auto"/>
        <w:ind w:firstLine="720"/>
        <w:jc w:val="both"/>
        <w:rPr>
          <w:sz w:val="23"/>
          <w:szCs w:val="23"/>
        </w:rPr>
      </w:pPr>
      <w:r>
        <w:t xml:space="preserve">In </w:t>
      </w:r>
      <w:r w:rsidRPr="005A4745">
        <w:rPr>
          <w:i/>
          <w:iCs/>
        </w:rPr>
        <w:t xml:space="preserve">Airfield Investments (Pvt) Ltd </w:t>
      </w:r>
      <w:r w:rsidRPr="008A2D0A">
        <w:rPr>
          <w:iCs/>
        </w:rPr>
        <w:t>v</w:t>
      </w:r>
      <w:r w:rsidRPr="005A4745">
        <w:rPr>
          <w:i/>
          <w:iCs/>
        </w:rPr>
        <w:t xml:space="preserve"> Minister of Lands, Agriculture and Rural Resettlement &amp; Ors</w:t>
      </w:r>
      <w:r>
        <w:rPr>
          <w:i/>
          <w:iCs/>
        </w:rPr>
        <w:t>.</w:t>
      </w:r>
      <w:r w:rsidRPr="005A4745">
        <w:rPr>
          <w:rStyle w:val="FootnoteReference"/>
          <w:i/>
          <w:iCs/>
        </w:rPr>
        <w:footnoteReference w:id="23"/>
      </w:r>
      <w:r w:rsidRPr="005A4745">
        <w:rPr>
          <w:i/>
          <w:iCs/>
        </w:rPr>
        <w:t xml:space="preserve"> </w:t>
      </w:r>
      <w:r w:rsidRPr="005A4745">
        <w:t>MALABA JA (as he then was</w:t>
      </w:r>
      <w:r>
        <w:t>) set out the requirements for the granting of a temporary interdict as follows</w:t>
      </w:r>
      <w:r>
        <w:rPr>
          <w:sz w:val="23"/>
          <w:szCs w:val="23"/>
        </w:rPr>
        <w:t xml:space="preserve">: </w:t>
      </w:r>
    </w:p>
    <w:p w14:paraId="58DAAC04" w14:textId="77777777" w:rsidR="00524957" w:rsidRPr="007E46FA" w:rsidRDefault="00524957" w:rsidP="00524957">
      <w:pPr>
        <w:pStyle w:val="Default"/>
        <w:ind w:left="720"/>
        <w:jc w:val="both"/>
        <w:rPr>
          <w:sz w:val="22"/>
          <w:szCs w:val="22"/>
        </w:rPr>
      </w:pPr>
      <w:r w:rsidRPr="007E46FA">
        <w:rPr>
          <w:sz w:val="22"/>
          <w:szCs w:val="22"/>
        </w:rPr>
        <w:t xml:space="preserve">“It must be borne in mind that an interim interdict is an extraordinary remedy, the granting of which is at the discretion of the court hearing the application for the relief. There are, however, requirements which an applicant for interim relief must satisfy before it can be granted. In </w:t>
      </w:r>
      <w:r w:rsidRPr="007E46FA">
        <w:rPr>
          <w:i/>
          <w:iCs/>
          <w:sz w:val="22"/>
          <w:szCs w:val="22"/>
        </w:rPr>
        <w:t xml:space="preserve">L F Boshoff Investments (Pty) Ltd </w:t>
      </w:r>
      <w:r w:rsidRPr="008A2D0A">
        <w:rPr>
          <w:iCs/>
          <w:sz w:val="22"/>
          <w:szCs w:val="22"/>
        </w:rPr>
        <w:t>v</w:t>
      </w:r>
      <w:r w:rsidRPr="007E46FA">
        <w:rPr>
          <w:i/>
          <w:iCs/>
          <w:sz w:val="22"/>
          <w:szCs w:val="22"/>
        </w:rPr>
        <w:t xml:space="preserve"> Cape Town Municipality </w:t>
      </w:r>
      <w:r w:rsidRPr="007E46FA">
        <w:rPr>
          <w:sz w:val="22"/>
          <w:szCs w:val="22"/>
        </w:rPr>
        <w:t xml:space="preserve">1969 (2) SA 256 (C) at 267 A-F, CORBETT J (as he then was) said an applicant for such temporary relief must show: </w:t>
      </w:r>
    </w:p>
    <w:p w14:paraId="5805F5E2" w14:textId="77777777" w:rsidR="00524957" w:rsidRPr="007E46FA" w:rsidRDefault="00524957" w:rsidP="00524957">
      <w:pPr>
        <w:pStyle w:val="Default"/>
        <w:ind w:left="1134" w:hanging="414"/>
        <w:jc w:val="both"/>
        <w:rPr>
          <w:sz w:val="22"/>
          <w:szCs w:val="22"/>
        </w:rPr>
      </w:pPr>
      <w:r w:rsidRPr="007E46FA">
        <w:rPr>
          <w:sz w:val="22"/>
          <w:szCs w:val="22"/>
        </w:rPr>
        <w:t xml:space="preserve">“(a) that the right which is the subject matter of the main action and which he seeks to protect by means of interim relief is clear or, if not clear, is </w:t>
      </w:r>
      <w:r w:rsidRPr="007E46FA">
        <w:rPr>
          <w:i/>
          <w:iCs/>
          <w:sz w:val="22"/>
          <w:szCs w:val="22"/>
        </w:rPr>
        <w:t xml:space="preserve">prima facie </w:t>
      </w:r>
      <w:r w:rsidRPr="007E46FA">
        <w:rPr>
          <w:sz w:val="22"/>
          <w:szCs w:val="22"/>
        </w:rPr>
        <w:t xml:space="preserve">established though open to some doubt; </w:t>
      </w:r>
    </w:p>
    <w:p w14:paraId="77B6D689" w14:textId="77777777" w:rsidR="00524957" w:rsidRPr="007E46FA" w:rsidRDefault="00524957" w:rsidP="00524957">
      <w:pPr>
        <w:pStyle w:val="Default"/>
        <w:ind w:left="993" w:hanging="273"/>
        <w:jc w:val="both"/>
        <w:rPr>
          <w:sz w:val="22"/>
          <w:szCs w:val="22"/>
        </w:rPr>
      </w:pPr>
      <w:r w:rsidRPr="007E46FA">
        <w:rPr>
          <w:sz w:val="22"/>
          <w:szCs w:val="22"/>
        </w:rPr>
        <w:t xml:space="preserve">(b) that, if the right is only </w:t>
      </w:r>
      <w:r w:rsidRPr="007E46FA">
        <w:rPr>
          <w:i/>
          <w:iCs/>
          <w:sz w:val="22"/>
          <w:szCs w:val="22"/>
        </w:rPr>
        <w:t xml:space="preserve">prima facie </w:t>
      </w:r>
      <w:r w:rsidRPr="007E46FA">
        <w:rPr>
          <w:sz w:val="22"/>
          <w:szCs w:val="22"/>
        </w:rPr>
        <w:t xml:space="preserve">established, there is a well-grounded apprehension of irreparable harm to the applicant if the interim relief is not granted and he ultimately succeeds in establishing his right; </w:t>
      </w:r>
    </w:p>
    <w:p w14:paraId="3C513424" w14:textId="77777777" w:rsidR="00524957" w:rsidRPr="007E46FA" w:rsidRDefault="00524957" w:rsidP="00524957">
      <w:pPr>
        <w:pStyle w:val="Default"/>
        <w:ind w:firstLine="720"/>
        <w:jc w:val="both"/>
        <w:rPr>
          <w:sz w:val="22"/>
          <w:szCs w:val="22"/>
        </w:rPr>
      </w:pPr>
      <w:r w:rsidRPr="007E46FA">
        <w:rPr>
          <w:sz w:val="22"/>
          <w:szCs w:val="22"/>
        </w:rPr>
        <w:t xml:space="preserve">(c) that the balance of convenience favours the granting of interim relief; and </w:t>
      </w:r>
    </w:p>
    <w:p w14:paraId="124A11FD" w14:textId="77777777" w:rsidR="00524957" w:rsidRDefault="00524957" w:rsidP="00524957">
      <w:pPr>
        <w:spacing w:after="100" w:afterAutospacing="1" w:line="240" w:lineRule="auto"/>
        <w:ind w:firstLine="720"/>
        <w:jc w:val="both"/>
        <w:rPr>
          <w:rFonts w:ascii="Times New Roman" w:hAnsi="Times New Roman" w:cs="Times New Roman"/>
        </w:rPr>
      </w:pPr>
      <w:r w:rsidRPr="007E46FA">
        <w:rPr>
          <w:rFonts w:ascii="Times New Roman" w:hAnsi="Times New Roman" w:cs="Times New Roman"/>
        </w:rPr>
        <w:t>(d) that the applicant has no other satisfactory remedy.”</w:t>
      </w:r>
    </w:p>
    <w:p w14:paraId="5DEDB1E9" w14:textId="6468AF30" w:rsidR="00255DBA" w:rsidRDefault="00524957" w:rsidP="00AC20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consideration of the papers and the submissions by the parties, this court is satisfied that the applicant has managed to establish a </w:t>
      </w:r>
      <w:r w:rsidRPr="00524957">
        <w:rPr>
          <w:rFonts w:ascii="Times New Roman" w:hAnsi="Times New Roman" w:cs="Times New Roman"/>
          <w:i/>
          <w:sz w:val="24"/>
          <w:szCs w:val="24"/>
        </w:rPr>
        <w:t>prima facie</w:t>
      </w:r>
      <w:r>
        <w:rPr>
          <w:rFonts w:ascii="Times New Roman" w:hAnsi="Times New Roman" w:cs="Times New Roman"/>
          <w:sz w:val="24"/>
          <w:szCs w:val="24"/>
        </w:rPr>
        <w:t xml:space="preserve"> </w:t>
      </w:r>
      <w:r w:rsidR="00E0406D">
        <w:rPr>
          <w:rFonts w:ascii="Times New Roman" w:hAnsi="Times New Roman" w:cs="Times New Roman"/>
          <w:sz w:val="24"/>
          <w:szCs w:val="24"/>
        </w:rPr>
        <w:t xml:space="preserve">case </w:t>
      </w:r>
      <w:r>
        <w:rPr>
          <w:rFonts w:ascii="Times New Roman" w:hAnsi="Times New Roman" w:cs="Times New Roman"/>
          <w:sz w:val="24"/>
          <w:szCs w:val="24"/>
        </w:rPr>
        <w:t>by virtue of its registration as an employer association. It is entitled to participate in the affairs of the third respondent as a representative of its membership. It is common cause that negotiations which resulted in the birth of the CBA that is now befo</w:t>
      </w:r>
      <w:r w:rsidR="00721414">
        <w:rPr>
          <w:rFonts w:ascii="Times New Roman" w:hAnsi="Times New Roman" w:cs="Times New Roman"/>
          <w:sz w:val="24"/>
          <w:szCs w:val="24"/>
        </w:rPr>
        <w:t>r</w:t>
      </w:r>
      <w:r>
        <w:rPr>
          <w:rFonts w:ascii="Times New Roman" w:hAnsi="Times New Roman" w:cs="Times New Roman"/>
          <w:sz w:val="24"/>
          <w:szCs w:val="24"/>
        </w:rPr>
        <w:t xml:space="preserve">e the fourth respondent for registration and gazetting were done without the applicant’s input. </w:t>
      </w:r>
      <w:r w:rsidR="00721414">
        <w:rPr>
          <w:rFonts w:ascii="Times New Roman" w:hAnsi="Times New Roman" w:cs="Times New Roman"/>
          <w:sz w:val="24"/>
          <w:szCs w:val="24"/>
        </w:rPr>
        <w:t xml:space="preserve">The negotiations were held at a time when both third and fourth respondents were seized with the matter regarding the membership status of the first respondent. </w:t>
      </w:r>
      <w:r w:rsidR="00255DBA">
        <w:rPr>
          <w:rFonts w:ascii="Times New Roman" w:hAnsi="Times New Roman" w:cs="Times New Roman"/>
          <w:sz w:val="24"/>
          <w:szCs w:val="24"/>
        </w:rPr>
        <w:t xml:space="preserve">The meeting of 7 February 2022 which was organized to discuss the sharing of seats to include the first respondent was deferred to allow the verification of its membership. The postponement was also meant to verify the statuses of the applicant and GMAZ amongst other things. In the court’s view the applicant has managed to demonstrate that there is a </w:t>
      </w:r>
      <w:r w:rsidR="00DE07DE">
        <w:rPr>
          <w:rFonts w:ascii="Times New Roman" w:hAnsi="Times New Roman" w:cs="Times New Roman"/>
          <w:sz w:val="24"/>
          <w:szCs w:val="24"/>
        </w:rPr>
        <w:t>well-grounded</w:t>
      </w:r>
      <w:r w:rsidR="00255DBA">
        <w:rPr>
          <w:rFonts w:ascii="Times New Roman" w:hAnsi="Times New Roman" w:cs="Times New Roman"/>
          <w:sz w:val="24"/>
          <w:szCs w:val="24"/>
        </w:rPr>
        <w:t xml:space="preserve"> apprehension of irreparable harm if the CBA is registered before the pending issues are resolved.</w:t>
      </w:r>
    </w:p>
    <w:p w14:paraId="1AD69190" w14:textId="6C604711" w:rsidR="005A6551" w:rsidRDefault="00255DBA" w:rsidP="00AC20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balance of convenience favours the granting of the interim relief. The applicant asserts that it represents the majority of the employers in the sector, a claim that </w:t>
      </w:r>
      <w:r w:rsidR="00DE07DE">
        <w:rPr>
          <w:rFonts w:ascii="Times New Roman" w:hAnsi="Times New Roman" w:cs="Times New Roman"/>
          <w:sz w:val="24"/>
          <w:szCs w:val="24"/>
        </w:rPr>
        <w:t xml:space="preserve">was not convincingly </w:t>
      </w:r>
      <w:r>
        <w:rPr>
          <w:rFonts w:ascii="Times New Roman" w:hAnsi="Times New Roman" w:cs="Times New Roman"/>
          <w:sz w:val="24"/>
          <w:szCs w:val="24"/>
        </w:rPr>
        <w:t xml:space="preserve">refuted by the respondents. It is only proper that it be represented in any CBA negotiations whose outcome will bind its membership. The court is also satisfied </w:t>
      </w:r>
      <w:r w:rsidR="00DE07DE">
        <w:rPr>
          <w:rFonts w:ascii="Times New Roman" w:hAnsi="Times New Roman" w:cs="Times New Roman"/>
          <w:sz w:val="24"/>
          <w:szCs w:val="24"/>
        </w:rPr>
        <w:t xml:space="preserve">that </w:t>
      </w:r>
      <w:r>
        <w:rPr>
          <w:rFonts w:ascii="Times New Roman" w:hAnsi="Times New Roman" w:cs="Times New Roman"/>
          <w:sz w:val="24"/>
          <w:szCs w:val="24"/>
        </w:rPr>
        <w:t xml:space="preserve">the applicant has no other satisfactory remedy. Once the CBA is registered and </w:t>
      </w:r>
      <w:r w:rsidR="00F718AB">
        <w:rPr>
          <w:rFonts w:ascii="Times New Roman" w:hAnsi="Times New Roman" w:cs="Times New Roman"/>
          <w:sz w:val="24"/>
          <w:szCs w:val="24"/>
        </w:rPr>
        <w:t>gazette</w:t>
      </w:r>
      <w:r>
        <w:rPr>
          <w:rFonts w:ascii="Times New Roman" w:hAnsi="Times New Roman" w:cs="Times New Roman"/>
          <w:sz w:val="24"/>
          <w:szCs w:val="24"/>
        </w:rPr>
        <w:t xml:space="preserve">, it becomes implementable. </w:t>
      </w:r>
      <w:r w:rsidR="005A6551">
        <w:rPr>
          <w:rFonts w:ascii="Times New Roman" w:hAnsi="Times New Roman" w:cs="Times New Roman"/>
          <w:sz w:val="24"/>
          <w:szCs w:val="24"/>
        </w:rPr>
        <w:t xml:space="preserve">It has to be complied with by </w:t>
      </w:r>
      <w:r w:rsidR="00DE07DE">
        <w:rPr>
          <w:rFonts w:ascii="Times New Roman" w:hAnsi="Times New Roman" w:cs="Times New Roman"/>
          <w:sz w:val="24"/>
          <w:szCs w:val="24"/>
        </w:rPr>
        <w:t xml:space="preserve">some employers that may not have been represented </w:t>
      </w:r>
      <w:r w:rsidR="005A6551">
        <w:rPr>
          <w:rFonts w:ascii="Times New Roman" w:hAnsi="Times New Roman" w:cs="Times New Roman"/>
          <w:sz w:val="24"/>
          <w:szCs w:val="24"/>
        </w:rPr>
        <w:t xml:space="preserve">in its formulation. </w:t>
      </w:r>
    </w:p>
    <w:p w14:paraId="70FFB70C" w14:textId="6FE1560A" w:rsidR="00AC2002" w:rsidRDefault="005A6551" w:rsidP="00AC20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foregoing reasons that the court is satisfied that the applicant is entitled to the relief it seeks. </w:t>
      </w:r>
    </w:p>
    <w:p w14:paraId="322F0596" w14:textId="77777777" w:rsidR="0078619E" w:rsidRDefault="0078619E" w:rsidP="00AC2002">
      <w:pPr>
        <w:spacing w:after="0" w:line="360" w:lineRule="auto"/>
        <w:ind w:firstLine="720"/>
        <w:jc w:val="both"/>
        <w:rPr>
          <w:rFonts w:ascii="Times New Roman" w:hAnsi="Times New Roman" w:cs="Times New Roman"/>
          <w:sz w:val="24"/>
          <w:szCs w:val="24"/>
        </w:rPr>
      </w:pPr>
    </w:p>
    <w:p w14:paraId="50F61A17" w14:textId="77777777" w:rsidR="0078619E" w:rsidRDefault="0078619E" w:rsidP="00AC2002">
      <w:pPr>
        <w:spacing w:after="0" w:line="360" w:lineRule="auto"/>
        <w:ind w:firstLine="720"/>
        <w:jc w:val="both"/>
        <w:rPr>
          <w:rFonts w:ascii="Times New Roman" w:hAnsi="Times New Roman" w:cs="Times New Roman"/>
          <w:sz w:val="24"/>
          <w:szCs w:val="24"/>
        </w:rPr>
      </w:pPr>
    </w:p>
    <w:p w14:paraId="0C53D2F4" w14:textId="77777777" w:rsidR="0078619E" w:rsidRPr="00507CCA" w:rsidRDefault="0078619E" w:rsidP="00AC2002">
      <w:pPr>
        <w:spacing w:after="0" w:line="360" w:lineRule="auto"/>
        <w:ind w:firstLine="720"/>
        <w:jc w:val="both"/>
        <w:rPr>
          <w:rFonts w:ascii="Times New Roman" w:hAnsi="Times New Roman" w:cs="Times New Roman"/>
          <w:sz w:val="24"/>
          <w:szCs w:val="24"/>
        </w:rPr>
      </w:pPr>
    </w:p>
    <w:p w14:paraId="12F28575" w14:textId="4AAEC044" w:rsidR="004A5B2F" w:rsidRPr="004A5B2F" w:rsidRDefault="004A5B2F" w:rsidP="004A5B2F">
      <w:pPr>
        <w:spacing w:after="0" w:line="360" w:lineRule="auto"/>
        <w:jc w:val="both"/>
        <w:rPr>
          <w:b/>
        </w:rPr>
      </w:pPr>
      <w:r w:rsidRPr="004A5B2F">
        <w:rPr>
          <w:rFonts w:ascii="Times New Roman" w:hAnsi="Times New Roman" w:cs="Times New Roman"/>
          <w:b/>
          <w:sz w:val="24"/>
          <w:szCs w:val="24"/>
        </w:rPr>
        <w:t>Accordingly it is ordered that:</w:t>
      </w:r>
      <w:r w:rsidRPr="004A5B2F">
        <w:rPr>
          <w:b/>
        </w:rPr>
        <w:t xml:space="preserve">  </w:t>
      </w:r>
    </w:p>
    <w:p w14:paraId="25CF6DE4" w14:textId="2980C7A6" w:rsidR="005A6551" w:rsidRPr="004A5B2F" w:rsidRDefault="005A6551" w:rsidP="005A6551">
      <w:pPr>
        <w:pStyle w:val="NormalWeb"/>
        <w:spacing w:line="276" w:lineRule="auto"/>
        <w:jc w:val="both"/>
        <w:rPr>
          <w:color w:val="000000"/>
          <w:lang w:val="en-ZW"/>
        </w:rPr>
      </w:pPr>
      <w:r w:rsidRPr="00B825F1">
        <w:t>Pending determination of this matter</w:t>
      </w:r>
      <w:r>
        <w:t xml:space="preserve"> on the return date</w:t>
      </w:r>
      <w:r w:rsidRPr="00B825F1">
        <w:t xml:space="preserve">, the </w:t>
      </w:r>
      <w:r>
        <w:t>a</w:t>
      </w:r>
      <w:r w:rsidRPr="00B825F1">
        <w:t xml:space="preserve">pplicant is granted the following </w:t>
      </w:r>
      <w:r>
        <w:t xml:space="preserve">interim </w:t>
      </w:r>
      <w:r w:rsidRPr="00B825F1">
        <w:t>relief</w:t>
      </w:r>
      <w:r w:rsidRPr="004A5B2F">
        <w:rPr>
          <w:color w:val="000000"/>
          <w:lang w:val="en-ZW"/>
        </w:rPr>
        <w:t>:</w:t>
      </w:r>
      <w:r w:rsidR="00EC48D4">
        <w:rPr>
          <w:color w:val="000000"/>
          <w:lang w:val="en-ZW"/>
        </w:rPr>
        <w:t>-</w:t>
      </w:r>
    </w:p>
    <w:p w14:paraId="28F356C0" w14:textId="0001ED31" w:rsidR="00EC48D4" w:rsidRPr="00EC48D4" w:rsidRDefault="00EC48D4" w:rsidP="00EC48D4">
      <w:pPr>
        <w:pStyle w:val="ListParagraph"/>
        <w:numPr>
          <w:ilvl w:val="0"/>
          <w:numId w:val="13"/>
        </w:numPr>
        <w:spacing w:after="0"/>
        <w:jc w:val="both"/>
        <w:rPr>
          <w:rFonts w:ascii="Times New Roman" w:hAnsi="Times New Roman" w:cs="Times New Roman"/>
        </w:rPr>
      </w:pPr>
      <w:r w:rsidRPr="00EC48D4">
        <w:rPr>
          <w:rFonts w:ascii="Times New Roman" w:hAnsi="Times New Roman" w:cs="Times New Roman"/>
        </w:rPr>
        <w:t xml:space="preserve">The registration of the Collective Bargaining Agreement: Food and Allied </w:t>
      </w:r>
      <w:r w:rsidR="008A2D0A" w:rsidRPr="00EC48D4">
        <w:rPr>
          <w:rFonts w:ascii="Times New Roman" w:hAnsi="Times New Roman" w:cs="Times New Roman"/>
        </w:rPr>
        <w:t>Industries</w:t>
      </w:r>
      <w:r w:rsidRPr="00EC48D4">
        <w:rPr>
          <w:rFonts w:ascii="Times New Roman" w:hAnsi="Times New Roman" w:cs="Times New Roman"/>
        </w:rPr>
        <w:t xml:space="preserve"> (Milling Sub-sector) between </w:t>
      </w:r>
      <w:r w:rsidR="009A48EE">
        <w:rPr>
          <w:rFonts w:ascii="Times New Roman" w:hAnsi="Times New Roman" w:cs="Times New Roman"/>
        </w:rPr>
        <w:t>first</w:t>
      </w:r>
      <w:r w:rsidRPr="00EC48D4">
        <w:rPr>
          <w:rFonts w:ascii="Times New Roman" w:hAnsi="Times New Roman" w:cs="Times New Roman"/>
        </w:rPr>
        <w:t xml:space="preserve"> and </w:t>
      </w:r>
      <w:r w:rsidR="009A48EE">
        <w:rPr>
          <w:rFonts w:ascii="Times New Roman" w:hAnsi="Times New Roman" w:cs="Times New Roman"/>
        </w:rPr>
        <w:t>second</w:t>
      </w:r>
      <w:r w:rsidRPr="00EC48D4">
        <w:rPr>
          <w:rFonts w:ascii="Times New Roman" w:hAnsi="Times New Roman" w:cs="Times New Roman"/>
        </w:rPr>
        <w:t xml:space="preserve"> Respondent dated 22 March 2022 be and is hereby stayed;</w:t>
      </w:r>
    </w:p>
    <w:p w14:paraId="11578440" w14:textId="611637DE" w:rsidR="00EC48D4" w:rsidRDefault="00EC48D4" w:rsidP="00EC48D4">
      <w:pPr>
        <w:pStyle w:val="ListParagraph"/>
        <w:numPr>
          <w:ilvl w:val="0"/>
          <w:numId w:val="13"/>
        </w:numPr>
        <w:spacing w:after="0"/>
        <w:jc w:val="both"/>
        <w:rPr>
          <w:rFonts w:ascii="Times New Roman" w:hAnsi="Times New Roman" w:cs="Times New Roman"/>
        </w:rPr>
      </w:pPr>
      <w:r>
        <w:rPr>
          <w:rFonts w:ascii="Times New Roman" w:hAnsi="Times New Roman" w:cs="Times New Roman"/>
        </w:rPr>
        <w:t>The first r</w:t>
      </w:r>
      <w:r w:rsidRPr="00EC48D4">
        <w:rPr>
          <w:rFonts w:ascii="Times New Roman" w:hAnsi="Times New Roman" w:cs="Times New Roman"/>
        </w:rPr>
        <w:t>espondent be and is hereby temporarily interdicted from participating in any collective bargaining negotiations for the Milling sub-sector.</w:t>
      </w:r>
    </w:p>
    <w:p w14:paraId="36EB2F61" w14:textId="6256238A" w:rsidR="004A5B2F" w:rsidRPr="00EC48D4" w:rsidRDefault="00EC48D4" w:rsidP="00A94229">
      <w:pPr>
        <w:pStyle w:val="ListParagraph"/>
        <w:numPr>
          <w:ilvl w:val="0"/>
          <w:numId w:val="13"/>
        </w:numPr>
        <w:spacing w:after="100" w:afterAutospacing="1"/>
        <w:jc w:val="both"/>
        <w:rPr>
          <w:rFonts w:ascii="Times New Roman" w:eastAsia="Times New Roman" w:hAnsi="Times New Roman" w:cs="Times New Roman"/>
          <w:sz w:val="24"/>
          <w:szCs w:val="24"/>
          <w:lang w:eastAsia="en-ZW"/>
        </w:rPr>
      </w:pPr>
      <w:r w:rsidRPr="00EC48D4">
        <w:rPr>
          <w:rFonts w:ascii="Times New Roman" w:eastAsia="Times New Roman" w:hAnsi="Times New Roman" w:cs="Times New Roman"/>
          <w:sz w:val="24"/>
          <w:szCs w:val="24"/>
        </w:rPr>
        <w:t>This provisional order shall be served on the respondents by the Sheriff of the High</w:t>
      </w:r>
      <w:r>
        <w:rPr>
          <w:rFonts w:ascii="Times New Roman" w:eastAsia="Times New Roman" w:hAnsi="Times New Roman" w:cs="Times New Roman"/>
          <w:sz w:val="24"/>
          <w:szCs w:val="24"/>
        </w:rPr>
        <w:t xml:space="preserve"> </w:t>
      </w:r>
      <w:r w:rsidRPr="00EC48D4">
        <w:rPr>
          <w:rFonts w:ascii="Times New Roman" w:eastAsia="Times New Roman" w:hAnsi="Times New Roman" w:cs="Times New Roman"/>
          <w:sz w:val="24"/>
          <w:szCs w:val="24"/>
        </w:rPr>
        <w:t>Court of Zimbabwe or by the applicants’ legal practitioners</w:t>
      </w:r>
      <w:r w:rsidRPr="00EC48D4">
        <w:rPr>
          <w:rFonts w:ascii="Times New Roman" w:hAnsi="Times New Roman" w:cs="Times New Roman"/>
        </w:rPr>
        <w:t xml:space="preserve"> </w:t>
      </w:r>
    </w:p>
    <w:p w14:paraId="62277A65" w14:textId="77777777" w:rsidR="008A2D0A" w:rsidRDefault="008A2D0A" w:rsidP="008A2D0A">
      <w:pPr>
        <w:spacing w:after="0" w:line="240" w:lineRule="auto"/>
        <w:jc w:val="both"/>
        <w:rPr>
          <w:rFonts w:ascii="Times New Roman" w:hAnsi="Times New Roman" w:cs="Times New Roman"/>
          <w:i/>
          <w:sz w:val="24"/>
          <w:szCs w:val="24"/>
        </w:rPr>
      </w:pPr>
    </w:p>
    <w:p w14:paraId="1F8F5174" w14:textId="77777777" w:rsidR="008A2D0A" w:rsidRDefault="008A2D0A" w:rsidP="008A2D0A">
      <w:pPr>
        <w:spacing w:after="0" w:line="240" w:lineRule="auto"/>
        <w:jc w:val="both"/>
        <w:rPr>
          <w:rFonts w:ascii="Times New Roman" w:hAnsi="Times New Roman" w:cs="Times New Roman"/>
          <w:i/>
          <w:sz w:val="24"/>
          <w:szCs w:val="24"/>
        </w:rPr>
      </w:pPr>
    </w:p>
    <w:p w14:paraId="5834A409" w14:textId="77777777" w:rsidR="008A2D0A" w:rsidRDefault="008A2D0A" w:rsidP="008A2D0A">
      <w:pPr>
        <w:spacing w:after="0" w:line="240" w:lineRule="auto"/>
        <w:jc w:val="both"/>
        <w:rPr>
          <w:rFonts w:ascii="Times New Roman" w:hAnsi="Times New Roman" w:cs="Times New Roman"/>
          <w:i/>
          <w:sz w:val="24"/>
          <w:szCs w:val="24"/>
        </w:rPr>
      </w:pPr>
    </w:p>
    <w:p w14:paraId="7685BF63" w14:textId="77777777" w:rsidR="008A2D0A" w:rsidRDefault="008A2D0A" w:rsidP="008A2D0A">
      <w:pPr>
        <w:spacing w:after="0" w:line="240" w:lineRule="auto"/>
        <w:jc w:val="both"/>
        <w:rPr>
          <w:rFonts w:ascii="Times New Roman" w:hAnsi="Times New Roman" w:cs="Times New Roman"/>
          <w:i/>
          <w:sz w:val="24"/>
          <w:szCs w:val="24"/>
        </w:rPr>
      </w:pPr>
    </w:p>
    <w:p w14:paraId="244A538E" w14:textId="11443430" w:rsidR="00B10942" w:rsidRPr="0096367C" w:rsidRDefault="00EC48D4" w:rsidP="008A2D0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Takawira Law Chambers</w:t>
      </w:r>
      <w:r w:rsidR="00B10942">
        <w:rPr>
          <w:rFonts w:ascii="Times New Roman" w:hAnsi="Times New Roman" w:cs="Times New Roman"/>
          <w:sz w:val="24"/>
          <w:szCs w:val="24"/>
        </w:rPr>
        <w:t>, applicant’s legal practitioners</w:t>
      </w:r>
    </w:p>
    <w:p w14:paraId="527426C8" w14:textId="0BB7E372" w:rsidR="00B10942" w:rsidRDefault="000B2E54" w:rsidP="008A2D0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Lovemore Madhuku Lawyers</w:t>
      </w:r>
      <w:r w:rsidR="00D52794">
        <w:rPr>
          <w:rFonts w:ascii="Times New Roman" w:hAnsi="Times New Roman" w:cs="Times New Roman"/>
          <w:i/>
          <w:sz w:val="24"/>
          <w:szCs w:val="24"/>
        </w:rPr>
        <w:t>,</w:t>
      </w:r>
      <w:r>
        <w:rPr>
          <w:rFonts w:ascii="Times New Roman" w:hAnsi="Times New Roman" w:cs="Times New Roman"/>
          <w:sz w:val="24"/>
          <w:szCs w:val="24"/>
        </w:rPr>
        <w:t xml:space="preserve"> </w:t>
      </w:r>
      <w:r w:rsidR="008A2D0A">
        <w:rPr>
          <w:rFonts w:ascii="Times New Roman" w:hAnsi="Times New Roman" w:cs="Times New Roman"/>
          <w:sz w:val="24"/>
          <w:szCs w:val="24"/>
        </w:rPr>
        <w:t>first</w:t>
      </w:r>
      <w:r>
        <w:rPr>
          <w:rFonts w:ascii="Times New Roman" w:hAnsi="Times New Roman" w:cs="Times New Roman"/>
          <w:sz w:val="24"/>
          <w:szCs w:val="24"/>
        </w:rPr>
        <w:t xml:space="preserve"> and </w:t>
      </w:r>
      <w:r w:rsidR="008A2D0A">
        <w:rPr>
          <w:rFonts w:ascii="Times New Roman" w:hAnsi="Times New Roman" w:cs="Times New Roman"/>
          <w:sz w:val="24"/>
          <w:szCs w:val="24"/>
        </w:rPr>
        <w:t>second</w:t>
      </w:r>
      <w:r>
        <w:rPr>
          <w:rFonts w:ascii="Times New Roman" w:hAnsi="Times New Roman" w:cs="Times New Roman"/>
          <w:sz w:val="24"/>
          <w:szCs w:val="24"/>
        </w:rPr>
        <w:t xml:space="preserve"> </w:t>
      </w:r>
      <w:r w:rsidR="00B10942">
        <w:rPr>
          <w:rFonts w:ascii="Times New Roman" w:hAnsi="Times New Roman" w:cs="Times New Roman"/>
          <w:sz w:val="24"/>
          <w:szCs w:val="24"/>
        </w:rPr>
        <w:t>respondent</w:t>
      </w:r>
      <w:r w:rsidR="0096367C">
        <w:rPr>
          <w:rFonts w:ascii="Times New Roman" w:hAnsi="Times New Roman" w:cs="Times New Roman"/>
          <w:sz w:val="24"/>
          <w:szCs w:val="24"/>
        </w:rPr>
        <w:t>s’</w:t>
      </w:r>
      <w:r w:rsidR="00B10942">
        <w:rPr>
          <w:rFonts w:ascii="Times New Roman" w:hAnsi="Times New Roman" w:cs="Times New Roman"/>
          <w:sz w:val="24"/>
          <w:szCs w:val="24"/>
        </w:rPr>
        <w:t xml:space="preserve"> legal practitioners</w:t>
      </w:r>
    </w:p>
    <w:p w14:paraId="53647A27" w14:textId="337DC171" w:rsidR="000B2E54" w:rsidRPr="000B2E54" w:rsidRDefault="000B2E54" w:rsidP="008A2D0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Sande Legal Practice, </w:t>
      </w:r>
      <w:r w:rsidR="008A2D0A">
        <w:rPr>
          <w:rFonts w:ascii="Times New Roman" w:hAnsi="Times New Roman" w:cs="Times New Roman"/>
          <w:sz w:val="24"/>
          <w:szCs w:val="24"/>
        </w:rPr>
        <w:t>third</w:t>
      </w:r>
      <w:r w:rsidRPr="000B2E54">
        <w:rPr>
          <w:rFonts w:ascii="Times New Roman" w:hAnsi="Times New Roman" w:cs="Times New Roman"/>
          <w:sz w:val="24"/>
          <w:szCs w:val="24"/>
        </w:rPr>
        <w:t xml:space="preserve"> Respondent’s</w:t>
      </w:r>
      <w:r>
        <w:rPr>
          <w:rFonts w:ascii="Times New Roman" w:hAnsi="Times New Roman" w:cs="Times New Roman"/>
          <w:i/>
          <w:sz w:val="24"/>
          <w:szCs w:val="24"/>
        </w:rPr>
        <w:t xml:space="preserve"> </w:t>
      </w:r>
      <w:r>
        <w:rPr>
          <w:rFonts w:ascii="Times New Roman" w:hAnsi="Times New Roman" w:cs="Times New Roman"/>
          <w:sz w:val="24"/>
          <w:szCs w:val="24"/>
        </w:rPr>
        <w:t xml:space="preserve">legal practitioners </w:t>
      </w:r>
    </w:p>
    <w:sectPr w:rsidR="000B2E54" w:rsidRPr="000B2E54"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DE50" w14:textId="77777777" w:rsidR="008118D7" w:rsidRDefault="008118D7" w:rsidP="0000054D">
      <w:pPr>
        <w:spacing w:after="0" w:line="240" w:lineRule="auto"/>
      </w:pPr>
      <w:r>
        <w:separator/>
      </w:r>
    </w:p>
  </w:endnote>
  <w:endnote w:type="continuationSeparator" w:id="0">
    <w:p w14:paraId="206F81CD" w14:textId="77777777" w:rsidR="008118D7" w:rsidRDefault="008118D7"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8D47" w14:textId="77777777" w:rsidR="008118D7" w:rsidRDefault="008118D7" w:rsidP="0000054D">
      <w:pPr>
        <w:spacing w:after="0" w:line="240" w:lineRule="auto"/>
      </w:pPr>
      <w:r>
        <w:separator/>
      </w:r>
    </w:p>
  </w:footnote>
  <w:footnote w:type="continuationSeparator" w:id="0">
    <w:p w14:paraId="18ADDE5C" w14:textId="77777777" w:rsidR="008118D7" w:rsidRDefault="008118D7" w:rsidP="0000054D">
      <w:pPr>
        <w:spacing w:after="0" w:line="240" w:lineRule="auto"/>
      </w:pPr>
      <w:r>
        <w:continuationSeparator/>
      </w:r>
    </w:p>
  </w:footnote>
  <w:footnote w:id="1">
    <w:p w14:paraId="458EB379" w14:textId="3141C99F" w:rsidR="008E5F78" w:rsidRPr="00495B2D" w:rsidRDefault="008E5F78">
      <w:pPr>
        <w:pStyle w:val="FootnoteText"/>
        <w:rPr>
          <w:rFonts w:ascii="Times New Roman" w:hAnsi="Times New Roman" w:cs="Times New Roman"/>
          <w:sz w:val="18"/>
          <w:szCs w:val="18"/>
        </w:rPr>
      </w:pPr>
      <w:r w:rsidRPr="00495B2D">
        <w:rPr>
          <w:rStyle w:val="FootnoteReference"/>
          <w:rFonts w:ascii="Times New Roman" w:hAnsi="Times New Roman" w:cs="Times New Roman"/>
          <w:sz w:val="18"/>
          <w:szCs w:val="18"/>
        </w:rPr>
        <w:footnoteRef/>
      </w:r>
      <w:r w:rsidRPr="00495B2D">
        <w:rPr>
          <w:rFonts w:ascii="Times New Roman" w:hAnsi="Times New Roman" w:cs="Times New Roman"/>
          <w:sz w:val="18"/>
          <w:szCs w:val="18"/>
        </w:rPr>
        <w:t xml:space="preserve"> [</w:t>
      </w:r>
      <w:r w:rsidRPr="00495B2D">
        <w:rPr>
          <w:rFonts w:ascii="Times New Roman" w:hAnsi="Times New Roman" w:cs="Times New Roman"/>
          <w:i/>
          <w:sz w:val="18"/>
          <w:szCs w:val="18"/>
        </w:rPr>
        <w:t>Chapter 28:01</w:t>
      </w:r>
      <w:r w:rsidRPr="00495B2D">
        <w:rPr>
          <w:rFonts w:ascii="Times New Roman" w:hAnsi="Times New Roman" w:cs="Times New Roman"/>
          <w:sz w:val="18"/>
          <w:szCs w:val="18"/>
        </w:rPr>
        <w:t>]</w:t>
      </w:r>
    </w:p>
  </w:footnote>
  <w:footnote w:id="2">
    <w:p w14:paraId="6E70ACAA" w14:textId="3D8F360D" w:rsidR="008E5F78" w:rsidRPr="00573D33" w:rsidRDefault="008E5F78" w:rsidP="00573D33">
      <w:pPr>
        <w:pStyle w:val="FootnoteText"/>
        <w:jc w:val="both"/>
        <w:rPr>
          <w:rFonts w:ascii="Times New Roman" w:hAnsi="Times New Roman" w:cs="Times New Roman"/>
          <w:sz w:val="18"/>
          <w:szCs w:val="18"/>
        </w:rPr>
      </w:pPr>
      <w:r w:rsidRPr="00573D33">
        <w:rPr>
          <w:rStyle w:val="FootnoteReference"/>
          <w:rFonts w:ascii="Times New Roman" w:hAnsi="Times New Roman" w:cs="Times New Roman"/>
          <w:sz w:val="18"/>
          <w:szCs w:val="18"/>
        </w:rPr>
        <w:footnoteRef/>
      </w:r>
      <w:r w:rsidRPr="00573D33">
        <w:rPr>
          <w:rFonts w:ascii="Times New Roman" w:hAnsi="Times New Roman" w:cs="Times New Roman"/>
          <w:sz w:val="18"/>
          <w:szCs w:val="18"/>
        </w:rPr>
        <w:t xml:space="preserve"> </w:t>
      </w:r>
      <w:r w:rsidRPr="00573D33">
        <w:rPr>
          <w:rFonts w:ascii="Times New Roman" w:hAnsi="Times New Roman" w:cs="Times New Roman"/>
          <w:i/>
          <w:sz w:val="18"/>
          <w:szCs w:val="18"/>
        </w:rPr>
        <w:t>Nhari v Mugabe &amp; Others</w:t>
      </w:r>
      <w:r w:rsidRPr="00573D33">
        <w:rPr>
          <w:rFonts w:ascii="Times New Roman" w:hAnsi="Times New Roman" w:cs="Times New Roman"/>
          <w:sz w:val="18"/>
          <w:szCs w:val="18"/>
        </w:rPr>
        <w:t xml:space="preserve"> SC 161/20; </w:t>
      </w:r>
      <w:r w:rsidRPr="00573D33">
        <w:rPr>
          <w:rFonts w:ascii="Times New Roman" w:hAnsi="Times New Roman" w:cs="Times New Roman"/>
          <w:i/>
          <w:sz w:val="18"/>
          <w:szCs w:val="18"/>
        </w:rPr>
        <w:t>Chingombe v City of Harare</w:t>
      </w:r>
      <w:r w:rsidRPr="00573D33">
        <w:rPr>
          <w:rFonts w:ascii="Times New Roman" w:hAnsi="Times New Roman" w:cs="Times New Roman"/>
          <w:sz w:val="18"/>
          <w:szCs w:val="18"/>
        </w:rPr>
        <w:t xml:space="preserve"> SC 177/20; </w:t>
      </w:r>
      <w:r w:rsidRPr="00573D33">
        <w:rPr>
          <w:rFonts w:ascii="Times New Roman" w:hAnsi="Times New Roman" w:cs="Times New Roman"/>
          <w:i/>
          <w:sz w:val="18"/>
          <w:szCs w:val="18"/>
        </w:rPr>
        <w:t>Baking and Allied Workers Union &amp; Four Others v National Employment Council for Food and Allied Industries and Seven Others</w:t>
      </w:r>
      <w:r w:rsidRPr="00573D33">
        <w:rPr>
          <w:rFonts w:ascii="Times New Roman" w:hAnsi="Times New Roman" w:cs="Times New Roman"/>
          <w:sz w:val="18"/>
          <w:szCs w:val="18"/>
        </w:rPr>
        <w:t xml:space="preserve"> HH 148/22</w:t>
      </w:r>
    </w:p>
  </w:footnote>
  <w:footnote w:id="3">
    <w:p w14:paraId="7525093B" w14:textId="0738DC5F" w:rsidR="002A7E07" w:rsidRPr="002A7E07" w:rsidRDefault="002A7E07">
      <w:pPr>
        <w:pStyle w:val="FootnoteText"/>
        <w:rPr>
          <w:rFonts w:ascii="Times New Roman" w:hAnsi="Times New Roman" w:cs="Times New Roman"/>
          <w:sz w:val="18"/>
          <w:szCs w:val="18"/>
        </w:rPr>
      </w:pPr>
      <w:r w:rsidRPr="002A7E07">
        <w:rPr>
          <w:rStyle w:val="FootnoteReference"/>
          <w:rFonts w:ascii="Times New Roman" w:hAnsi="Times New Roman" w:cs="Times New Roman"/>
          <w:sz w:val="18"/>
          <w:szCs w:val="18"/>
        </w:rPr>
        <w:footnoteRef/>
      </w:r>
      <w:r w:rsidRPr="002A7E07">
        <w:rPr>
          <w:rFonts w:ascii="Times New Roman" w:hAnsi="Times New Roman" w:cs="Times New Roman"/>
          <w:sz w:val="18"/>
          <w:szCs w:val="18"/>
        </w:rPr>
        <w:t xml:space="preserve"> HH 180/16</w:t>
      </w:r>
    </w:p>
  </w:footnote>
  <w:footnote w:id="4">
    <w:p w14:paraId="403DEB49" w14:textId="0B404A8D" w:rsidR="002A7E07" w:rsidRPr="002A7E07" w:rsidRDefault="002A7E07">
      <w:pPr>
        <w:pStyle w:val="FootnoteText"/>
        <w:rPr>
          <w:rFonts w:ascii="Times New Roman" w:hAnsi="Times New Roman" w:cs="Times New Roman"/>
          <w:sz w:val="18"/>
          <w:szCs w:val="18"/>
        </w:rPr>
      </w:pPr>
      <w:r w:rsidRPr="002A7E07">
        <w:rPr>
          <w:rStyle w:val="FootnoteReference"/>
          <w:rFonts w:ascii="Times New Roman" w:hAnsi="Times New Roman" w:cs="Times New Roman"/>
          <w:sz w:val="18"/>
          <w:szCs w:val="18"/>
        </w:rPr>
        <w:footnoteRef/>
      </w:r>
      <w:r w:rsidRPr="002A7E07">
        <w:rPr>
          <w:rFonts w:ascii="Times New Roman" w:hAnsi="Times New Roman" w:cs="Times New Roman"/>
          <w:sz w:val="18"/>
          <w:szCs w:val="18"/>
        </w:rPr>
        <w:t xml:space="preserve"> HH 38/18</w:t>
      </w:r>
    </w:p>
  </w:footnote>
  <w:footnote w:id="5">
    <w:p w14:paraId="4425B9C4" w14:textId="098DDA32" w:rsidR="008E5F78" w:rsidRDefault="008E5F78">
      <w:pPr>
        <w:pStyle w:val="FootnoteText"/>
      </w:pPr>
      <w:r>
        <w:rPr>
          <w:rStyle w:val="FootnoteReference"/>
        </w:rPr>
        <w:footnoteRef/>
      </w:r>
      <w:r>
        <w:t xml:space="preserve"> </w:t>
      </w:r>
      <w:r w:rsidRPr="00FA6C07">
        <w:rPr>
          <w:rFonts w:ascii="Times New Roman" w:hAnsi="Times New Roman" w:cs="Times New Roman"/>
          <w:i/>
          <w:iCs/>
          <w:sz w:val="18"/>
          <w:szCs w:val="18"/>
          <w:lang w:val="en-ZW"/>
        </w:rPr>
        <w:t xml:space="preserve">Nhari v Mugabe &amp; Ors </w:t>
      </w:r>
      <w:r>
        <w:rPr>
          <w:rFonts w:ascii="Times New Roman" w:hAnsi="Times New Roman" w:cs="Times New Roman"/>
          <w:iCs/>
          <w:sz w:val="18"/>
          <w:szCs w:val="18"/>
          <w:lang w:val="en-ZW"/>
        </w:rPr>
        <w:t>(supra)</w:t>
      </w:r>
    </w:p>
  </w:footnote>
  <w:footnote w:id="6">
    <w:p w14:paraId="4CBEB56F" w14:textId="01F27568" w:rsidR="00AE4B24" w:rsidRPr="00AE4B24" w:rsidRDefault="00AE4B24">
      <w:pPr>
        <w:pStyle w:val="FootnoteText"/>
        <w:rPr>
          <w:rFonts w:ascii="Times New Roman" w:hAnsi="Times New Roman" w:cs="Times New Roman"/>
          <w:sz w:val="18"/>
          <w:szCs w:val="18"/>
        </w:rPr>
      </w:pPr>
      <w:r w:rsidRPr="00AE4B24">
        <w:rPr>
          <w:rStyle w:val="FootnoteReference"/>
          <w:rFonts w:ascii="Times New Roman" w:hAnsi="Times New Roman" w:cs="Times New Roman"/>
          <w:sz w:val="18"/>
          <w:szCs w:val="18"/>
        </w:rPr>
        <w:footnoteRef/>
      </w:r>
      <w:r w:rsidRPr="00AE4B24">
        <w:rPr>
          <w:rFonts w:ascii="Times New Roman" w:hAnsi="Times New Roman" w:cs="Times New Roman"/>
          <w:sz w:val="18"/>
          <w:szCs w:val="18"/>
        </w:rPr>
        <w:t xml:space="preserve"> HH 21/21</w:t>
      </w:r>
    </w:p>
  </w:footnote>
  <w:footnote w:id="7">
    <w:p w14:paraId="4A9132BF" w14:textId="2B5C66D9" w:rsidR="008E5F78" w:rsidRPr="00AD556C" w:rsidRDefault="008E5F78">
      <w:pPr>
        <w:pStyle w:val="FootnoteText"/>
        <w:rPr>
          <w:rFonts w:ascii="Times New Roman" w:hAnsi="Times New Roman" w:cs="Times New Roman"/>
          <w:i/>
          <w:sz w:val="18"/>
          <w:szCs w:val="18"/>
        </w:rPr>
      </w:pPr>
      <w:r w:rsidRPr="00AD556C">
        <w:rPr>
          <w:rStyle w:val="FootnoteReference"/>
          <w:rFonts w:ascii="Times New Roman" w:hAnsi="Times New Roman" w:cs="Times New Roman"/>
          <w:i/>
          <w:sz w:val="18"/>
          <w:szCs w:val="18"/>
        </w:rPr>
        <w:footnoteRef/>
      </w:r>
      <w:r w:rsidRPr="00AD556C">
        <w:rPr>
          <w:rFonts w:ascii="Times New Roman" w:hAnsi="Times New Roman" w:cs="Times New Roman"/>
          <w:i/>
          <w:sz w:val="18"/>
          <w:szCs w:val="18"/>
        </w:rPr>
        <w:t xml:space="preserve"> Stylianou and 2 Others v Mubita and 25 Others SC 7/17</w:t>
      </w:r>
    </w:p>
  </w:footnote>
  <w:footnote w:id="8">
    <w:p w14:paraId="2B6C4C20" w14:textId="28E83993" w:rsidR="008E5F78" w:rsidRPr="005C295D" w:rsidRDefault="008E5F78">
      <w:pPr>
        <w:pStyle w:val="FootnoteText"/>
        <w:rPr>
          <w:rFonts w:ascii="Times New Roman" w:hAnsi="Times New Roman" w:cs="Times New Roman"/>
        </w:rPr>
      </w:pPr>
      <w:r w:rsidRPr="005C295D">
        <w:rPr>
          <w:rStyle w:val="FootnoteReference"/>
          <w:rFonts w:ascii="Times New Roman" w:hAnsi="Times New Roman" w:cs="Times New Roman"/>
        </w:rPr>
        <w:footnoteRef/>
      </w:r>
      <w:r w:rsidRPr="005C295D">
        <w:rPr>
          <w:rFonts w:ascii="Times New Roman" w:hAnsi="Times New Roman" w:cs="Times New Roman"/>
        </w:rPr>
        <w:t xml:space="preserve"> supra </w:t>
      </w:r>
    </w:p>
  </w:footnote>
  <w:footnote w:id="9">
    <w:p w14:paraId="6FE27608" w14:textId="1E5A0FAC" w:rsidR="008E5F78" w:rsidRPr="00501886" w:rsidRDefault="008E5F78">
      <w:pPr>
        <w:pStyle w:val="FootnoteText"/>
        <w:rPr>
          <w:sz w:val="18"/>
          <w:szCs w:val="18"/>
        </w:rPr>
      </w:pPr>
      <w:r w:rsidRPr="00501886">
        <w:rPr>
          <w:rStyle w:val="FootnoteReference"/>
          <w:sz w:val="18"/>
          <w:szCs w:val="18"/>
        </w:rPr>
        <w:footnoteRef/>
      </w:r>
      <w:r w:rsidRPr="00501886">
        <w:rPr>
          <w:sz w:val="18"/>
          <w:szCs w:val="18"/>
        </w:rPr>
        <w:t xml:space="preserve"> </w:t>
      </w:r>
      <w:r w:rsidRPr="00501886">
        <w:rPr>
          <w:rFonts w:ascii="Times New Roman" w:hAnsi="Times New Roman" w:cs="Times New Roman"/>
          <w:sz w:val="18"/>
          <w:szCs w:val="18"/>
          <w:lang w:val="en-ZW"/>
        </w:rPr>
        <w:t xml:space="preserve">2006(1) </w:t>
      </w:r>
      <w:r>
        <w:rPr>
          <w:rFonts w:ascii="Times New Roman" w:hAnsi="Times New Roman" w:cs="Times New Roman"/>
          <w:sz w:val="18"/>
          <w:szCs w:val="18"/>
          <w:lang w:val="en-ZW"/>
        </w:rPr>
        <w:t xml:space="preserve">ZLR 514 (S); </w:t>
      </w:r>
    </w:p>
  </w:footnote>
  <w:footnote w:id="10">
    <w:p w14:paraId="5D0CF5FC" w14:textId="18CBE84D" w:rsidR="008E5F78" w:rsidRPr="00501886" w:rsidRDefault="008E5F78">
      <w:pPr>
        <w:pStyle w:val="FootnoteText"/>
        <w:rPr>
          <w:rFonts w:ascii="Times New Roman" w:hAnsi="Times New Roman" w:cs="Times New Roman"/>
          <w:sz w:val="18"/>
          <w:szCs w:val="18"/>
        </w:rPr>
      </w:pPr>
      <w:r w:rsidRPr="00501886">
        <w:rPr>
          <w:rStyle w:val="FootnoteReference"/>
          <w:rFonts w:ascii="Times New Roman" w:hAnsi="Times New Roman" w:cs="Times New Roman"/>
          <w:sz w:val="18"/>
          <w:szCs w:val="18"/>
        </w:rPr>
        <w:footnoteRef/>
      </w:r>
      <w:r w:rsidRPr="00501886">
        <w:rPr>
          <w:rFonts w:ascii="Times New Roman" w:hAnsi="Times New Roman" w:cs="Times New Roman"/>
          <w:sz w:val="18"/>
          <w:szCs w:val="18"/>
        </w:rPr>
        <w:t xml:space="preserve"> SC 73/19</w:t>
      </w:r>
    </w:p>
  </w:footnote>
  <w:footnote w:id="11">
    <w:p w14:paraId="2CD508B1" w14:textId="0FF3789C" w:rsidR="008E5F78" w:rsidRPr="001029AF" w:rsidRDefault="008E5F78">
      <w:pPr>
        <w:pStyle w:val="FootnoteText"/>
        <w:rPr>
          <w:rFonts w:ascii="Times New Roman" w:hAnsi="Times New Roman" w:cs="Times New Roman"/>
          <w:sz w:val="18"/>
          <w:szCs w:val="18"/>
        </w:rPr>
      </w:pPr>
      <w:r w:rsidRPr="001029AF">
        <w:rPr>
          <w:rStyle w:val="FootnoteReference"/>
          <w:rFonts w:ascii="Times New Roman" w:hAnsi="Times New Roman" w:cs="Times New Roman"/>
          <w:sz w:val="18"/>
          <w:szCs w:val="18"/>
        </w:rPr>
        <w:footnoteRef/>
      </w:r>
      <w:r w:rsidRPr="001029AF">
        <w:rPr>
          <w:rFonts w:ascii="Times New Roman" w:hAnsi="Times New Roman" w:cs="Times New Roman"/>
          <w:sz w:val="18"/>
          <w:szCs w:val="18"/>
        </w:rPr>
        <w:t xml:space="preserve"> </w:t>
      </w:r>
      <w:r>
        <w:rPr>
          <w:rFonts w:ascii="Times New Roman" w:hAnsi="Times New Roman" w:cs="Times New Roman"/>
          <w:sz w:val="18"/>
          <w:szCs w:val="18"/>
        </w:rPr>
        <w:t>S</w:t>
      </w:r>
      <w:r w:rsidRPr="001029AF">
        <w:rPr>
          <w:rFonts w:ascii="Times New Roman" w:hAnsi="Times New Roman" w:cs="Times New Roman"/>
          <w:sz w:val="18"/>
          <w:szCs w:val="18"/>
        </w:rPr>
        <w:t xml:space="preserve">upra </w:t>
      </w:r>
    </w:p>
  </w:footnote>
  <w:footnote w:id="12">
    <w:p w14:paraId="1AB5D17F" w14:textId="366B841C" w:rsidR="008E5F78" w:rsidRPr="00FA4AE1" w:rsidRDefault="008E5F78">
      <w:pPr>
        <w:pStyle w:val="FootnoteText"/>
        <w:rPr>
          <w:rFonts w:ascii="Times New Roman" w:hAnsi="Times New Roman" w:cs="Times New Roman"/>
          <w:sz w:val="18"/>
          <w:szCs w:val="18"/>
        </w:rPr>
      </w:pPr>
      <w:r w:rsidRPr="00FA4AE1">
        <w:rPr>
          <w:rStyle w:val="FootnoteReference"/>
          <w:rFonts w:ascii="Times New Roman" w:hAnsi="Times New Roman" w:cs="Times New Roman"/>
          <w:sz w:val="18"/>
          <w:szCs w:val="18"/>
        </w:rPr>
        <w:footnoteRef/>
      </w:r>
      <w:r w:rsidRPr="00FA4AE1">
        <w:rPr>
          <w:rFonts w:ascii="Times New Roman" w:hAnsi="Times New Roman" w:cs="Times New Roman"/>
          <w:sz w:val="18"/>
          <w:szCs w:val="18"/>
        </w:rPr>
        <w:t xml:space="preserve"> Page 64 of the application</w:t>
      </w:r>
    </w:p>
  </w:footnote>
  <w:footnote w:id="13">
    <w:p w14:paraId="415271F7" w14:textId="5196CCC2" w:rsidR="008E5F78" w:rsidRPr="00501886" w:rsidRDefault="008E5F78" w:rsidP="003929DB">
      <w:pPr>
        <w:pStyle w:val="FootnoteText"/>
        <w:rPr>
          <w:rFonts w:ascii="Times New Roman" w:hAnsi="Times New Roman" w:cs="Times New Roman"/>
          <w:sz w:val="18"/>
          <w:szCs w:val="18"/>
        </w:rPr>
      </w:pPr>
      <w:r w:rsidRPr="00501886">
        <w:rPr>
          <w:rStyle w:val="FootnoteReference"/>
          <w:rFonts w:ascii="Times New Roman" w:hAnsi="Times New Roman" w:cs="Times New Roman"/>
          <w:sz w:val="18"/>
          <w:szCs w:val="18"/>
        </w:rPr>
        <w:footnoteRef/>
      </w:r>
      <w:r w:rsidRPr="00501886">
        <w:rPr>
          <w:rFonts w:ascii="Times New Roman" w:hAnsi="Times New Roman" w:cs="Times New Roman"/>
          <w:sz w:val="18"/>
          <w:szCs w:val="18"/>
        </w:rPr>
        <w:t xml:space="preserve"> </w:t>
      </w:r>
      <w:r>
        <w:rPr>
          <w:rFonts w:ascii="Times New Roman" w:hAnsi="Times New Roman" w:cs="Times New Roman"/>
          <w:sz w:val="18"/>
          <w:szCs w:val="18"/>
        </w:rPr>
        <w:t xml:space="preserve">supra </w:t>
      </w:r>
    </w:p>
  </w:footnote>
  <w:footnote w:id="14">
    <w:p w14:paraId="4A3C187A" w14:textId="6938B119" w:rsidR="008E5F78" w:rsidRPr="00B94190" w:rsidRDefault="008E5F78">
      <w:pPr>
        <w:pStyle w:val="FootnoteText"/>
        <w:rPr>
          <w:rFonts w:ascii="Times New Roman" w:hAnsi="Times New Roman" w:cs="Times New Roman"/>
          <w:sz w:val="18"/>
          <w:szCs w:val="18"/>
        </w:rPr>
      </w:pPr>
      <w:r w:rsidRPr="00B94190">
        <w:rPr>
          <w:rStyle w:val="FootnoteReference"/>
          <w:rFonts w:ascii="Times New Roman" w:hAnsi="Times New Roman" w:cs="Times New Roman"/>
          <w:sz w:val="18"/>
          <w:szCs w:val="18"/>
        </w:rPr>
        <w:footnoteRef/>
      </w:r>
      <w:r w:rsidRPr="00B94190">
        <w:rPr>
          <w:rFonts w:ascii="Times New Roman" w:hAnsi="Times New Roman" w:cs="Times New Roman"/>
          <w:sz w:val="18"/>
          <w:szCs w:val="18"/>
        </w:rPr>
        <w:t xml:space="preserve"> Page 8 of the judgment. </w:t>
      </w:r>
    </w:p>
  </w:footnote>
  <w:footnote w:id="15">
    <w:p w14:paraId="2AC749B6" w14:textId="1C817D42" w:rsidR="008E5F78" w:rsidRPr="006A48A0" w:rsidRDefault="008E5F78">
      <w:pPr>
        <w:pStyle w:val="FootnoteText"/>
        <w:rPr>
          <w:rFonts w:ascii="Times New Roman" w:hAnsi="Times New Roman" w:cs="Times New Roman"/>
          <w:sz w:val="18"/>
          <w:szCs w:val="18"/>
          <w:lang w:val="en-ZW"/>
        </w:rPr>
      </w:pPr>
      <w:r w:rsidRPr="00087000">
        <w:rPr>
          <w:rStyle w:val="FootnoteReference"/>
          <w:rFonts w:ascii="Times New Roman" w:hAnsi="Times New Roman" w:cs="Times New Roman"/>
          <w:sz w:val="18"/>
          <w:szCs w:val="18"/>
        </w:rPr>
        <w:footnoteRef/>
      </w:r>
      <w:r w:rsidRPr="00087000">
        <w:rPr>
          <w:rFonts w:ascii="Times New Roman" w:hAnsi="Times New Roman" w:cs="Times New Roman"/>
          <w:sz w:val="18"/>
          <w:szCs w:val="18"/>
        </w:rPr>
        <w:t xml:space="preserve"> </w:t>
      </w:r>
      <w:r w:rsidRPr="00087000">
        <w:rPr>
          <w:rFonts w:ascii="Times New Roman" w:hAnsi="Times New Roman" w:cs="Times New Roman"/>
          <w:i/>
          <w:sz w:val="18"/>
          <w:szCs w:val="18"/>
        </w:rPr>
        <w:t xml:space="preserve">Judicial Services Commission v Zibani &amp; Others </w:t>
      </w:r>
      <w:r w:rsidRPr="00786A6C">
        <w:rPr>
          <w:rFonts w:ascii="Times New Roman" w:hAnsi="Times New Roman" w:cs="Times New Roman"/>
          <w:sz w:val="18"/>
          <w:szCs w:val="18"/>
        </w:rPr>
        <w:t>SC 68/17</w:t>
      </w:r>
      <w:r>
        <w:rPr>
          <w:rFonts w:ascii="Times New Roman" w:hAnsi="Times New Roman" w:cs="Times New Roman"/>
          <w:i/>
          <w:sz w:val="18"/>
          <w:szCs w:val="18"/>
        </w:rPr>
        <w:t xml:space="preserve">; </w:t>
      </w:r>
      <w:r w:rsidRPr="00786A6C">
        <w:rPr>
          <w:rFonts w:ascii="Times New Roman" w:hAnsi="Times New Roman" w:cs="Times New Roman"/>
          <w:i/>
          <w:sz w:val="18"/>
          <w:szCs w:val="18"/>
        </w:rPr>
        <w:t>Mayor Logistics (Pvt)    Ltd v Zimbabwe      Revenue     Authority</w:t>
      </w:r>
      <w:r>
        <w:rPr>
          <w:rFonts w:ascii="Times New Roman" w:hAnsi="Times New Roman" w:cs="Times New Roman"/>
          <w:i/>
          <w:sz w:val="18"/>
          <w:szCs w:val="18"/>
        </w:rPr>
        <w:t xml:space="preserve"> </w:t>
      </w:r>
      <w:r w:rsidRPr="00C6321C">
        <w:rPr>
          <w:rFonts w:ascii="Times New Roman" w:hAnsi="Times New Roman" w:cs="Times New Roman"/>
          <w:sz w:val="18"/>
          <w:szCs w:val="18"/>
        </w:rPr>
        <w:t xml:space="preserve">CCZ 7/14 at page 8 of the judgment </w:t>
      </w:r>
    </w:p>
  </w:footnote>
  <w:footnote w:id="16">
    <w:p w14:paraId="39C90864" w14:textId="77777777" w:rsidR="008E5F78" w:rsidRPr="008F2351" w:rsidRDefault="008E5F78" w:rsidP="006A48A0">
      <w:pPr>
        <w:pStyle w:val="FootnoteText"/>
        <w:rPr>
          <w:rFonts w:ascii="Times New Roman" w:hAnsi="Times New Roman" w:cs="Times New Roman"/>
          <w:sz w:val="18"/>
          <w:szCs w:val="18"/>
          <w:lang w:val="en-ZW"/>
        </w:rPr>
      </w:pPr>
      <w:r w:rsidRPr="008F2351">
        <w:rPr>
          <w:rStyle w:val="FootnoteReference"/>
          <w:rFonts w:ascii="Times New Roman" w:hAnsi="Times New Roman" w:cs="Times New Roman"/>
          <w:sz w:val="18"/>
          <w:szCs w:val="18"/>
        </w:rPr>
        <w:footnoteRef/>
      </w:r>
      <w:r w:rsidRPr="008F2351">
        <w:rPr>
          <w:rFonts w:ascii="Times New Roman" w:hAnsi="Times New Roman" w:cs="Times New Roman"/>
          <w:sz w:val="18"/>
          <w:szCs w:val="18"/>
        </w:rPr>
        <w:t xml:space="preserve"> At pages 9-10 of the judgment</w:t>
      </w:r>
    </w:p>
  </w:footnote>
  <w:footnote w:id="17">
    <w:p w14:paraId="7053C80E" w14:textId="77777777" w:rsidR="008E5F78" w:rsidRPr="008F2351" w:rsidRDefault="008E5F78" w:rsidP="008F2351">
      <w:pPr>
        <w:pStyle w:val="FootnoteText"/>
        <w:jc w:val="both"/>
        <w:rPr>
          <w:rFonts w:ascii="Times New Roman" w:hAnsi="Times New Roman" w:cs="Times New Roman"/>
          <w:sz w:val="18"/>
          <w:szCs w:val="18"/>
        </w:rPr>
      </w:pPr>
      <w:r w:rsidRPr="008F2351">
        <w:rPr>
          <w:rStyle w:val="FootnoteReference"/>
          <w:rFonts w:ascii="Times New Roman" w:hAnsi="Times New Roman" w:cs="Times New Roman"/>
          <w:sz w:val="18"/>
          <w:szCs w:val="18"/>
        </w:rPr>
        <w:footnoteRef/>
      </w:r>
      <w:r w:rsidRPr="008F2351">
        <w:rPr>
          <w:rFonts w:ascii="Times New Roman" w:hAnsi="Times New Roman" w:cs="Times New Roman"/>
          <w:sz w:val="18"/>
          <w:szCs w:val="18"/>
        </w:rPr>
        <w:t xml:space="preserve"> HB168/11; See also </w:t>
      </w:r>
      <w:r w:rsidRPr="008F2351">
        <w:rPr>
          <w:rFonts w:ascii="Times New Roman" w:hAnsi="Times New Roman" w:cs="Times New Roman"/>
          <w:i/>
          <w:sz w:val="18"/>
          <w:szCs w:val="18"/>
        </w:rPr>
        <w:t>Musandu v Cresta Lodge Disciplinary and Grievance Committee</w:t>
      </w:r>
      <w:r w:rsidRPr="008F2351">
        <w:rPr>
          <w:rFonts w:ascii="Times New Roman" w:hAnsi="Times New Roman" w:cs="Times New Roman"/>
          <w:sz w:val="18"/>
          <w:szCs w:val="18"/>
        </w:rPr>
        <w:t xml:space="preserve"> HH 115/94; </w:t>
      </w:r>
      <w:r w:rsidRPr="008F2351">
        <w:rPr>
          <w:rFonts w:ascii="Times New Roman" w:hAnsi="Times New Roman" w:cs="Times New Roman"/>
          <w:i/>
          <w:sz w:val="18"/>
          <w:szCs w:val="18"/>
        </w:rPr>
        <w:t>Moyo v Forestry Commission</w:t>
      </w:r>
      <w:r w:rsidRPr="008F2351">
        <w:rPr>
          <w:rFonts w:ascii="Times New Roman" w:hAnsi="Times New Roman" w:cs="Times New Roman"/>
          <w:sz w:val="18"/>
          <w:szCs w:val="18"/>
        </w:rPr>
        <w:t xml:space="preserve"> 1996 (1) ZLR 173 (H); </w:t>
      </w:r>
      <w:r w:rsidRPr="008F2351">
        <w:rPr>
          <w:rFonts w:ascii="Times New Roman" w:hAnsi="Times New Roman" w:cs="Times New Roman"/>
          <w:i/>
          <w:sz w:val="18"/>
          <w:szCs w:val="18"/>
        </w:rPr>
        <w:t>Tuso v City of Harare</w:t>
      </w:r>
      <w:r w:rsidRPr="008F2351">
        <w:rPr>
          <w:rFonts w:ascii="Times New Roman" w:hAnsi="Times New Roman" w:cs="Times New Roman"/>
          <w:sz w:val="18"/>
          <w:szCs w:val="18"/>
        </w:rPr>
        <w:t xml:space="preserve"> 2004 (1) ZLR 1 (H); </w:t>
      </w:r>
      <w:r w:rsidRPr="008F2351">
        <w:rPr>
          <w:rFonts w:ascii="Times New Roman" w:hAnsi="Times New Roman" w:cs="Times New Roman"/>
          <w:i/>
          <w:sz w:val="18"/>
          <w:szCs w:val="18"/>
        </w:rPr>
        <w:t>Chawara v Reserve Bank of Zimbabwe</w:t>
      </w:r>
      <w:r w:rsidRPr="008F2351">
        <w:rPr>
          <w:rFonts w:ascii="Times New Roman" w:hAnsi="Times New Roman" w:cs="Times New Roman"/>
          <w:sz w:val="18"/>
          <w:szCs w:val="18"/>
        </w:rPr>
        <w:t xml:space="preserve"> 2006 (1) ZLR 525 (H) and </w:t>
      </w:r>
      <w:r w:rsidRPr="008F2351">
        <w:rPr>
          <w:rFonts w:ascii="Times New Roman" w:hAnsi="Times New Roman" w:cs="Times New Roman"/>
          <w:i/>
          <w:sz w:val="18"/>
          <w:szCs w:val="18"/>
        </w:rPr>
        <w:t>Tutani v Minister of Labour and Others</w:t>
      </w:r>
      <w:r w:rsidRPr="008F2351">
        <w:rPr>
          <w:rFonts w:ascii="Times New Roman" w:hAnsi="Times New Roman" w:cs="Times New Roman"/>
          <w:sz w:val="18"/>
          <w:szCs w:val="18"/>
        </w:rPr>
        <w:t xml:space="preserve"> 1987 (2) ZLR 88 (H)</w:t>
      </w:r>
    </w:p>
  </w:footnote>
  <w:footnote w:id="18">
    <w:p w14:paraId="592EB839" w14:textId="77777777" w:rsidR="008E5F78" w:rsidRPr="008F2351" w:rsidRDefault="008E5F78" w:rsidP="008F2351">
      <w:pPr>
        <w:pStyle w:val="FootnoteText"/>
        <w:jc w:val="both"/>
        <w:rPr>
          <w:rFonts w:ascii="Times New Roman" w:hAnsi="Times New Roman" w:cs="Times New Roman"/>
          <w:sz w:val="18"/>
          <w:szCs w:val="18"/>
        </w:rPr>
      </w:pPr>
      <w:r w:rsidRPr="008F2351">
        <w:rPr>
          <w:rStyle w:val="FootnoteReference"/>
          <w:rFonts w:ascii="Times New Roman" w:hAnsi="Times New Roman" w:cs="Times New Roman"/>
          <w:sz w:val="18"/>
          <w:szCs w:val="18"/>
        </w:rPr>
        <w:footnoteRef/>
      </w:r>
      <w:r w:rsidRPr="008F2351">
        <w:rPr>
          <w:rFonts w:ascii="Times New Roman" w:hAnsi="Times New Roman" w:cs="Times New Roman"/>
          <w:sz w:val="18"/>
          <w:szCs w:val="18"/>
        </w:rPr>
        <w:t xml:space="preserve"> 1987 (2) ZLR 88 (H) at p 95D</w:t>
      </w:r>
    </w:p>
  </w:footnote>
  <w:footnote w:id="19">
    <w:p w14:paraId="705E355A" w14:textId="77777777" w:rsidR="008E5F78" w:rsidRPr="008F2351" w:rsidRDefault="008E5F78" w:rsidP="008F2351">
      <w:pPr>
        <w:pStyle w:val="FootnoteText"/>
        <w:jc w:val="both"/>
        <w:rPr>
          <w:rFonts w:ascii="Times New Roman" w:hAnsi="Times New Roman" w:cs="Times New Roman"/>
          <w:sz w:val="18"/>
          <w:szCs w:val="18"/>
        </w:rPr>
      </w:pPr>
      <w:r w:rsidRPr="008F2351">
        <w:rPr>
          <w:rStyle w:val="FootnoteReference"/>
          <w:rFonts w:ascii="Times New Roman" w:hAnsi="Times New Roman" w:cs="Times New Roman"/>
          <w:sz w:val="18"/>
          <w:szCs w:val="18"/>
        </w:rPr>
        <w:footnoteRef/>
      </w:r>
      <w:r w:rsidRPr="008F2351">
        <w:rPr>
          <w:rFonts w:ascii="Times New Roman" w:hAnsi="Times New Roman" w:cs="Times New Roman"/>
          <w:sz w:val="18"/>
          <w:szCs w:val="18"/>
        </w:rPr>
        <w:t xml:space="preserve"> 1996 (1) ZLR 173 (HC), at p 191</w:t>
      </w:r>
    </w:p>
  </w:footnote>
  <w:footnote w:id="20">
    <w:p w14:paraId="6931A4F2" w14:textId="77777777" w:rsidR="008E5F78" w:rsidRPr="008F2351" w:rsidRDefault="008E5F78" w:rsidP="008F2351">
      <w:pPr>
        <w:pStyle w:val="FootnoteText"/>
        <w:jc w:val="both"/>
        <w:rPr>
          <w:rFonts w:ascii="Times New Roman" w:hAnsi="Times New Roman" w:cs="Times New Roman"/>
          <w:sz w:val="18"/>
          <w:szCs w:val="18"/>
        </w:rPr>
      </w:pPr>
      <w:r w:rsidRPr="008F2351">
        <w:rPr>
          <w:rStyle w:val="FootnoteReference"/>
          <w:rFonts w:ascii="Times New Roman" w:hAnsi="Times New Roman" w:cs="Times New Roman"/>
          <w:sz w:val="18"/>
          <w:szCs w:val="18"/>
        </w:rPr>
        <w:footnoteRef/>
      </w:r>
      <w:r w:rsidRPr="008F2351">
        <w:rPr>
          <w:rFonts w:ascii="Times New Roman" w:hAnsi="Times New Roman" w:cs="Times New Roman"/>
          <w:sz w:val="18"/>
          <w:szCs w:val="18"/>
        </w:rPr>
        <w:t xml:space="preserve"> HH 115/94</w:t>
      </w:r>
    </w:p>
  </w:footnote>
  <w:footnote w:id="21">
    <w:p w14:paraId="103CBAEC" w14:textId="77777777" w:rsidR="008E5690" w:rsidRPr="00825BB6" w:rsidRDefault="008E5690" w:rsidP="008E5690">
      <w:pPr>
        <w:pStyle w:val="FootnoteText"/>
        <w:rPr>
          <w:rFonts w:ascii="Times New Roman" w:hAnsi="Times New Roman" w:cs="Times New Roman"/>
          <w:sz w:val="18"/>
          <w:szCs w:val="18"/>
        </w:rPr>
      </w:pPr>
      <w:r w:rsidRPr="007E70A9">
        <w:rPr>
          <w:rStyle w:val="FootnoteReference"/>
          <w:rFonts w:ascii="Times New Roman" w:hAnsi="Times New Roman" w:cs="Times New Roman"/>
          <w:sz w:val="18"/>
          <w:szCs w:val="18"/>
        </w:rPr>
        <w:footnoteRef/>
      </w:r>
      <w:r w:rsidRPr="007E70A9">
        <w:rPr>
          <w:rFonts w:ascii="Times New Roman" w:hAnsi="Times New Roman" w:cs="Times New Roman"/>
          <w:sz w:val="18"/>
          <w:szCs w:val="18"/>
        </w:rPr>
        <w:t xml:space="preserve"> </w:t>
      </w:r>
      <w:r w:rsidRPr="007E70A9">
        <w:rPr>
          <w:rFonts w:ascii="Times New Roman" w:eastAsia="Times New Roman" w:hAnsi="Times New Roman" w:cs="Times New Roman"/>
          <w:sz w:val="18"/>
          <w:szCs w:val="18"/>
          <w:lang w:eastAsia="en-ZW"/>
        </w:rPr>
        <w:t>2006 (1) ZLR 232 (H) 243G</w:t>
      </w:r>
      <w:r w:rsidRPr="00825BB6">
        <w:rPr>
          <w:rFonts w:ascii="Times New Roman" w:eastAsia="Times New Roman" w:hAnsi="Times New Roman" w:cs="Times New Roman"/>
          <w:color w:val="4A4A4A"/>
          <w:sz w:val="18"/>
          <w:szCs w:val="18"/>
          <w:lang w:eastAsia="en-ZW"/>
        </w:rPr>
        <w:t>; 244A-C</w:t>
      </w:r>
    </w:p>
  </w:footnote>
  <w:footnote w:id="22">
    <w:p w14:paraId="4ABCB8C2" w14:textId="77777777" w:rsidR="00A94FBB" w:rsidRPr="00C6321C" w:rsidRDefault="00A94FBB" w:rsidP="00A94FBB">
      <w:pPr>
        <w:pStyle w:val="FootnoteText"/>
        <w:rPr>
          <w:rFonts w:ascii="Times New Roman" w:hAnsi="Times New Roman" w:cs="Times New Roman"/>
          <w:sz w:val="18"/>
          <w:szCs w:val="18"/>
          <w:lang w:val="en-ZW"/>
        </w:rPr>
      </w:pPr>
      <w:r w:rsidRPr="00C6321C">
        <w:rPr>
          <w:rStyle w:val="FootnoteReference"/>
          <w:rFonts w:ascii="Times New Roman" w:hAnsi="Times New Roman" w:cs="Times New Roman"/>
          <w:sz w:val="18"/>
          <w:szCs w:val="18"/>
        </w:rPr>
        <w:footnoteRef/>
      </w:r>
      <w:r w:rsidRPr="00C6321C">
        <w:rPr>
          <w:rFonts w:ascii="Times New Roman" w:hAnsi="Times New Roman" w:cs="Times New Roman"/>
          <w:sz w:val="18"/>
          <w:szCs w:val="18"/>
        </w:rPr>
        <w:t xml:space="preserve"> CCZ 7/14 at page 8 of the judgment </w:t>
      </w:r>
    </w:p>
  </w:footnote>
  <w:footnote w:id="23">
    <w:p w14:paraId="3EA0C045" w14:textId="77777777" w:rsidR="00524957" w:rsidRPr="005A4745" w:rsidRDefault="00524957" w:rsidP="00524957">
      <w:pPr>
        <w:pStyle w:val="FootnoteText"/>
        <w:rPr>
          <w:rFonts w:ascii="Times New Roman" w:hAnsi="Times New Roman" w:cs="Times New Roman"/>
          <w:sz w:val="18"/>
          <w:szCs w:val="18"/>
        </w:rPr>
      </w:pPr>
      <w:r>
        <w:rPr>
          <w:rStyle w:val="FootnoteReference"/>
        </w:rPr>
        <w:footnoteRef/>
      </w:r>
      <w:r>
        <w:t xml:space="preserve"> </w:t>
      </w:r>
      <w:r w:rsidRPr="005A4745">
        <w:rPr>
          <w:rFonts w:ascii="Times New Roman" w:hAnsi="Times New Roman" w:cs="Times New Roman"/>
          <w:i/>
          <w:iCs/>
          <w:sz w:val="18"/>
          <w:szCs w:val="18"/>
        </w:rPr>
        <w:t xml:space="preserve">2004 (1) ZLR 511 (S) </w:t>
      </w:r>
      <w:r w:rsidRPr="005A4745">
        <w:rPr>
          <w:rFonts w:ascii="Times New Roman" w:hAnsi="Times New Roman" w:cs="Times New Roman"/>
          <w:sz w:val="18"/>
          <w:szCs w:val="18"/>
        </w:rPr>
        <w:t>at 517 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16C8F7C2" w:rsidR="008E5F78" w:rsidRPr="0000054D" w:rsidRDefault="008E5F78">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BD1A00">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0BD2AD32" w:rsidR="008E5F78" w:rsidRPr="0000054D" w:rsidRDefault="008E5F78">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Pr>
            <w:rFonts w:ascii="Times New Roman" w:hAnsi="Times New Roman" w:cs="Times New Roman"/>
            <w:noProof/>
            <w:sz w:val="24"/>
            <w:szCs w:val="24"/>
          </w:rPr>
          <w:t xml:space="preserve"> </w:t>
        </w:r>
        <w:r w:rsidR="008F6A88">
          <w:rPr>
            <w:rFonts w:ascii="Times New Roman" w:hAnsi="Times New Roman" w:cs="Times New Roman"/>
            <w:noProof/>
            <w:sz w:val="24"/>
            <w:szCs w:val="24"/>
          </w:rPr>
          <w:t>263</w:t>
        </w:r>
        <w:r>
          <w:rPr>
            <w:rFonts w:ascii="Times New Roman" w:hAnsi="Times New Roman" w:cs="Times New Roman"/>
            <w:noProof/>
            <w:sz w:val="24"/>
            <w:szCs w:val="24"/>
          </w:rPr>
          <w:t>-22</w:t>
        </w:r>
      </w:p>
      <w:p w14:paraId="479106FC" w14:textId="51CA513D" w:rsidR="008E5F78" w:rsidRPr="0000054D" w:rsidRDefault="008E5F78">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2036/22</w:t>
        </w:r>
      </w:p>
    </w:sdtContent>
  </w:sdt>
  <w:p w14:paraId="21C5CEAF" w14:textId="77777777" w:rsidR="008E5F78" w:rsidRDefault="008E5F78" w:rsidP="0000054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475E5"/>
    <w:multiLevelType w:val="hybridMultilevel"/>
    <w:tmpl w:val="EDDE0418"/>
    <w:lvl w:ilvl="0" w:tplc="90ACA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43214EE"/>
    <w:multiLevelType w:val="hybridMultilevel"/>
    <w:tmpl w:val="18A60FA0"/>
    <w:lvl w:ilvl="0" w:tplc="1868C3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E5621"/>
    <w:multiLevelType w:val="hybridMultilevel"/>
    <w:tmpl w:val="B8E01646"/>
    <w:lvl w:ilvl="0" w:tplc="E556B9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AC7776F"/>
    <w:multiLevelType w:val="hybridMultilevel"/>
    <w:tmpl w:val="895E75E2"/>
    <w:lvl w:ilvl="0" w:tplc="E556B9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57174239">
    <w:abstractNumId w:val="8"/>
  </w:num>
  <w:num w:numId="2" w16cid:durableId="2119835370">
    <w:abstractNumId w:val="5"/>
  </w:num>
  <w:num w:numId="3" w16cid:durableId="1996252829">
    <w:abstractNumId w:val="9"/>
  </w:num>
  <w:num w:numId="4" w16cid:durableId="2055812778">
    <w:abstractNumId w:val="2"/>
  </w:num>
  <w:num w:numId="5" w16cid:durableId="2042784903">
    <w:abstractNumId w:val="4"/>
  </w:num>
  <w:num w:numId="6" w16cid:durableId="1436098254">
    <w:abstractNumId w:val="0"/>
  </w:num>
  <w:num w:numId="7" w16cid:durableId="2143500426">
    <w:abstractNumId w:val="11"/>
  </w:num>
  <w:num w:numId="8" w16cid:durableId="1569655132">
    <w:abstractNumId w:val="1"/>
  </w:num>
  <w:num w:numId="9" w16cid:durableId="2025209855">
    <w:abstractNumId w:val="6"/>
  </w:num>
  <w:num w:numId="10" w16cid:durableId="1255285033">
    <w:abstractNumId w:val="3"/>
  </w:num>
  <w:num w:numId="11" w16cid:durableId="1372684088">
    <w:abstractNumId w:val="7"/>
  </w:num>
  <w:num w:numId="12" w16cid:durableId="562566097">
    <w:abstractNumId w:val="10"/>
  </w:num>
  <w:num w:numId="13" w16cid:durableId="1158958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4D"/>
    <w:rsid w:val="00000277"/>
    <w:rsid w:val="0000054D"/>
    <w:rsid w:val="00004E48"/>
    <w:rsid w:val="0001570C"/>
    <w:rsid w:val="00017E83"/>
    <w:rsid w:val="00021749"/>
    <w:rsid w:val="00027BFD"/>
    <w:rsid w:val="00034D2C"/>
    <w:rsid w:val="0003549B"/>
    <w:rsid w:val="0003558C"/>
    <w:rsid w:val="00043F3F"/>
    <w:rsid w:val="000451F6"/>
    <w:rsid w:val="000549FF"/>
    <w:rsid w:val="00055F45"/>
    <w:rsid w:val="00057DC9"/>
    <w:rsid w:val="000652A4"/>
    <w:rsid w:val="00065491"/>
    <w:rsid w:val="0007024E"/>
    <w:rsid w:val="00072247"/>
    <w:rsid w:val="00072FD1"/>
    <w:rsid w:val="00073D80"/>
    <w:rsid w:val="00080BF3"/>
    <w:rsid w:val="000852DD"/>
    <w:rsid w:val="00085309"/>
    <w:rsid w:val="00087000"/>
    <w:rsid w:val="00090D46"/>
    <w:rsid w:val="00091B39"/>
    <w:rsid w:val="00094AC3"/>
    <w:rsid w:val="00094B58"/>
    <w:rsid w:val="000A0D81"/>
    <w:rsid w:val="000A289D"/>
    <w:rsid w:val="000A3540"/>
    <w:rsid w:val="000A5393"/>
    <w:rsid w:val="000A74E3"/>
    <w:rsid w:val="000B2E54"/>
    <w:rsid w:val="000B3FE5"/>
    <w:rsid w:val="000C297E"/>
    <w:rsid w:val="000C3843"/>
    <w:rsid w:val="000C50D1"/>
    <w:rsid w:val="000C7DBD"/>
    <w:rsid w:val="000D0383"/>
    <w:rsid w:val="000D33BD"/>
    <w:rsid w:val="000D361C"/>
    <w:rsid w:val="000F4340"/>
    <w:rsid w:val="000F4E18"/>
    <w:rsid w:val="00100B9E"/>
    <w:rsid w:val="001029AF"/>
    <w:rsid w:val="0010610B"/>
    <w:rsid w:val="00114671"/>
    <w:rsid w:val="0012033E"/>
    <w:rsid w:val="00120FE8"/>
    <w:rsid w:val="00126164"/>
    <w:rsid w:val="00127892"/>
    <w:rsid w:val="00127F20"/>
    <w:rsid w:val="0013112C"/>
    <w:rsid w:val="0013367D"/>
    <w:rsid w:val="00134B34"/>
    <w:rsid w:val="001420E9"/>
    <w:rsid w:val="00145764"/>
    <w:rsid w:val="00151201"/>
    <w:rsid w:val="0015223D"/>
    <w:rsid w:val="00156EF0"/>
    <w:rsid w:val="00162341"/>
    <w:rsid w:val="00164780"/>
    <w:rsid w:val="00165B0B"/>
    <w:rsid w:val="001663A6"/>
    <w:rsid w:val="00170406"/>
    <w:rsid w:val="00173BED"/>
    <w:rsid w:val="001871F4"/>
    <w:rsid w:val="001924C8"/>
    <w:rsid w:val="00193BFF"/>
    <w:rsid w:val="001B2E1D"/>
    <w:rsid w:val="001B53E2"/>
    <w:rsid w:val="001B5BF1"/>
    <w:rsid w:val="001B6E25"/>
    <w:rsid w:val="001D2E82"/>
    <w:rsid w:val="001E0411"/>
    <w:rsid w:val="001E4B97"/>
    <w:rsid w:val="001E4F6A"/>
    <w:rsid w:val="001F0EE9"/>
    <w:rsid w:val="001F2D87"/>
    <w:rsid w:val="001F4B18"/>
    <w:rsid w:val="001F50F0"/>
    <w:rsid w:val="00210891"/>
    <w:rsid w:val="00210A10"/>
    <w:rsid w:val="00210A92"/>
    <w:rsid w:val="00213A26"/>
    <w:rsid w:val="00214A97"/>
    <w:rsid w:val="00215572"/>
    <w:rsid w:val="002165B5"/>
    <w:rsid w:val="002176B7"/>
    <w:rsid w:val="00226D57"/>
    <w:rsid w:val="002315BA"/>
    <w:rsid w:val="00234150"/>
    <w:rsid w:val="0023728B"/>
    <w:rsid w:val="00255711"/>
    <w:rsid w:val="00255DBA"/>
    <w:rsid w:val="00256392"/>
    <w:rsid w:val="00257C62"/>
    <w:rsid w:val="00257D64"/>
    <w:rsid w:val="002712C6"/>
    <w:rsid w:val="00280442"/>
    <w:rsid w:val="002824F6"/>
    <w:rsid w:val="00283F43"/>
    <w:rsid w:val="0028687B"/>
    <w:rsid w:val="002937E2"/>
    <w:rsid w:val="00296D0E"/>
    <w:rsid w:val="002A0093"/>
    <w:rsid w:val="002A1435"/>
    <w:rsid w:val="002A4723"/>
    <w:rsid w:val="002A5408"/>
    <w:rsid w:val="002A5D90"/>
    <w:rsid w:val="002A605C"/>
    <w:rsid w:val="002A7E07"/>
    <w:rsid w:val="002B2465"/>
    <w:rsid w:val="002B5511"/>
    <w:rsid w:val="002B6160"/>
    <w:rsid w:val="002B6E96"/>
    <w:rsid w:val="002B728F"/>
    <w:rsid w:val="002C0975"/>
    <w:rsid w:val="002C2B7F"/>
    <w:rsid w:val="002C3571"/>
    <w:rsid w:val="002C7035"/>
    <w:rsid w:val="002C7962"/>
    <w:rsid w:val="002D2134"/>
    <w:rsid w:val="002D2EC5"/>
    <w:rsid w:val="002D3299"/>
    <w:rsid w:val="002D6688"/>
    <w:rsid w:val="002E106C"/>
    <w:rsid w:val="002E4EDA"/>
    <w:rsid w:val="002F2C0F"/>
    <w:rsid w:val="002F4EFA"/>
    <w:rsid w:val="002F623C"/>
    <w:rsid w:val="002F6A97"/>
    <w:rsid w:val="002F6B65"/>
    <w:rsid w:val="003002AE"/>
    <w:rsid w:val="0030438A"/>
    <w:rsid w:val="00304514"/>
    <w:rsid w:val="00312748"/>
    <w:rsid w:val="00317BE8"/>
    <w:rsid w:val="0032461B"/>
    <w:rsid w:val="00325BC4"/>
    <w:rsid w:val="00327A1D"/>
    <w:rsid w:val="003323F5"/>
    <w:rsid w:val="00333687"/>
    <w:rsid w:val="0033379E"/>
    <w:rsid w:val="00334F23"/>
    <w:rsid w:val="00342597"/>
    <w:rsid w:val="00342E9B"/>
    <w:rsid w:val="003435A7"/>
    <w:rsid w:val="00343B77"/>
    <w:rsid w:val="00354075"/>
    <w:rsid w:val="00360A4C"/>
    <w:rsid w:val="0036317F"/>
    <w:rsid w:val="00363772"/>
    <w:rsid w:val="003649C1"/>
    <w:rsid w:val="003665DD"/>
    <w:rsid w:val="003677B9"/>
    <w:rsid w:val="00375251"/>
    <w:rsid w:val="003923DE"/>
    <w:rsid w:val="003929DB"/>
    <w:rsid w:val="00393171"/>
    <w:rsid w:val="00393918"/>
    <w:rsid w:val="00395598"/>
    <w:rsid w:val="003A3241"/>
    <w:rsid w:val="003A604D"/>
    <w:rsid w:val="003B462C"/>
    <w:rsid w:val="003C3C04"/>
    <w:rsid w:val="003C4CF6"/>
    <w:rsid w:val="003C516F"/>
    <w:rsid w:val="003D18D0"/>
    <w:rsid w:val="003F0D40"/>
    <w:rsid w:val="003F187A"/>
    <w:rsid w:val="003F584D"/>
    <w:rsid w:val="003F738A"/>
    <w:rsid w:val="00402393"/>
    <w:rsid w:val="004039C2"/>
    <w:rsid w:val="004050D4"/>
    <w:rsid w:val="00410782"/>
    <w:rsid w:val="00412CD3"/>
    <w:rsid w:val="00415265"/>
    <w:rsid w:val="00422399"/>
    <w:rsid w:val="00424BF0"/>
    <w:rsid w:val="00427D93"/>
    <w:rsid w:val="0043205B"/>
    <w:rsid w:val="0043369B"/>
    <w:rsid w:val="00434061"/>
    <w:rsid w:val="00436130"/>
    <w:rsid w:val="004369F6"/>
    <w:rsid w:val="00441C59"/>
    <w:rsid w:val="00443AC5"/>
    <w:rsid w:val="00443D6D"/>
    <w:rsid w:val="00443FE0"/>
    <w:rsid w:val="004479A4"/>
    <w:rsid w:val="00450BAE"/>
    <w:rsid w:val="0045297E"/>
    <w:rsid w:val="00454E3E"/>
    <w:rsid w:val="00463259"/>
    <w:rsid w:val="00465D4A"/>
    <w:rsid w:val="00470645"/>
    <w:rsid w:val="00473957"/>
    <w:rsid w:val="00477E12"/>
    <w:rsid w:val="00480946"/>
    <w:rsid w:val="00482593"/>
    <w:rsid w:val="0048281C"/>
    <w:rsid w:val="00486D6F"/>
    <w:rsid w:val="00495B2D"/>
    <w:rsid w:val="00497B15"/>
    <w:rsid w:val="004A15EC"/>
    <w:rsid w:val="004A1ACA"/>
    <w:rsid w:val="004A5B2F"/>
    <w:rsid w:val="004A5FAA"/>
    <w:rsid w:val="004B0384"/>
    <w:rsid w:val="004B1140"/>
    <w:rsid w:val="004B73F4"/>
    <w:rsid w:val="004B7A0C"/>
    <w:rsid w:val="004C0373"/>
    <w:rsid w:val="004C1275"/>
    <w:rsid w:val="004C5DA4"/>
    <w:rsid w:val="004C73F8"/>
    <w:rsid w:val="004D469B"/>
    <w:rsid w:val="004D4B2A"/>
    <w:rsid w:val="004E2AE9"/>
    <w:rsid w:val="004E303A"/>
    <w:rsid w:val="004E6EDF"/>
    <w:rsid w:val="004F53FD"/>
    <w:rsid w:val="00501886"/>
    <w:rsid w:val="005025C9"/>
    <w:rsid w:val="00507CCA"/>
    <w:rsid w:val="0051022E"/>
    <w:rsid w:val="005106C6"/>
    <w:rsid w:val="00510F27"/>
    <w:rsid w:val="00517A97"/>
    <w:rsid w:val="00520FC3"/>
    <w:rsid w:val="00524957"/>
    <w:rsid w:val="00526F33"/>
    <w:rsid w:val="005308A5"/>
    <w:rsid w:val="00534B0C"/>
    <w:rsid w:val="00542A27"/>
    <w:rsid w:val="00542C01"/>
    <w:rsid w:val="00543412"/>
    <w:rsid w:val="0055552E"/>
    <w:rsid w:val="00560B87"/>
    <w:rsid w:val="00565928"/>
    <w:rsid w:val="00573D33"/>
    <w:rsid w:val="005805AC"/>
    <w:rsid w:val="00580AD1"/>
    <w:rsid w:val="00585558"/>
    <w:rsid w:val="005900DF"/>
    <w:rsid w:val="00593D2D"/>
    <w:rsid w:val="00595C10"/>
    <w:rsid w:val="005A0198"/>
    <w:rsid w:val="005A0A76"/>
    <w:rsid w:val="005A4745"/>
    <w:rsid w:val="005A500E"/>
    <w:rsid w:val="005A6551"/>
    <w:rsid w:val="005B1604"/>
    <w:rsid w:val="005B58E8"/>
    <w:rsid w:val="005B787A"/>
    <w:rsid w:val="005C295D"/>
    <w:rsid w:val="005C4A08"/>
    <w:rsid w:val="005C4CC2"/>
    <w:rsid w:val="005C5708"/>
    <w:rsid w:val="005D03FE"/>
    <w:rsid w:val="005D046D"/>
    <w:rsid w:val="005D0B37"/>
    <w:rsid w:val="005D682B"/>
    <w:rsid w:val="005D692E"/>
    <w:rsid w:val="005E09DD"/>
    <w:rsid w:val="005E0D23"/>
    <w:rsid w:val="005E67B4"/>
    <w:rsid w:val="005F3C69"/>
    <w:rsid w:val="005F7E01"/>
    <w:rsid w:val="00600BFC"/>
    <w:rsid w:val="00600E97"/>
    <w:rsid w:val="0060607A"/>
    <w:rsid w:val="006063E8"/>
    <w:rsid w:val="006067D8"/>
    <w:rsid w:val="00613536"/>
    <w:rsid w:val="00622ED0"/>
    <w:rsid w:val="006239C7"/>
    <w:rsid w:val="006249E8"/>
    <w:rsid w:val="00625681"/>
    <w:rsid w:val="00631E9E"/>
    <w:rsid w:val="006354BA"/>
    <w:rsid w:val="006365D0"/>
    <w:rsid w:val="00637E4D"/>
    <w:rsid w:val="00640A0E"/>
    <w:rsid w:val="006640C4"/>
    <w:rsid w:val="0066449E"/>
    <w:rsid w:val="00672472"/>
    <w:rsid w:val="006740FA"/>
    <w:rsid w:val="00682FC0"/>
    <w:rsid w:val="006911DA"/>
    <w:rsid w:val="00693D8E"/>
    <w:rsid w:val="006A48A0"/>
    <w:rsid w:val="006A7F79"/>
    <w:rsid w:val="006B08DE"/>
    <w:rsid w:val="006B09CD"/>
    <w:rsid w:val="006C0AA6"/>
    <w:rsid w:val="006C3A66"/>
    <w:rsid w:val="006C4094"/>
    <w:rsid w:val="006D12BD"/>
    <w:rsid w:val="006E362D"/>
    <w:rsid w:val="006E3AFB"/>
    <w:rsid w:val="006E4263"/>
    <w:rsid w:val="006E4C88"/>
    <w:rsid w:val="006E5A6B"/>
    <w:rsid w:val="006F1E5E"/>
    <w:rsid w:val="006F2422"/>
    <w:rsid w:val="006F55B6"/>
    <w:rsid w:val="006F5A3D"/>
    <w:rsid w:val="00704B5F"/>
    <w:rsid w:val="007056C8"/>
    <w:rsid w:val="00707583"/>
    <w:rsid w:val="00711581"/>
    <w:rsid w:val="00714DA1"/>
    <w:rsid w:val="00715665"/>
    <w:rsid w:val="00721414"/>
    <w:rsid w:val="007243CA"/>
    <w:rsid w:val="00727EDF"/>
    <w:rsid w:val="00731FB8"/>
    <w:rsid w:val="00736F34"/>
    <w:rsid w:val="0074061E"/>
    <w:rsid w:val="0075278A"/>
    <w:rsid w:val="00753D7C"/>
    <w:rsid w:val="00753DB7"/>
    <w:rsid w:val="0075507E"/>
    <w:rsid w:val="007640C9"/>
    <w:rsid w:val="007704E4"/>
    <w:rsid w:val="00772ADF"/>
    <w:rsid w:val="0077616D"/>
    <w:rsid w:val="00777426"/>
    <w:rsid w:val="00780870"/>
    <w:rsid w:val="0078619E"/>
    <w:rsid w:val="00786A6C"/>
    <w:rsid w:val="00786F3E"/>
    <w:rsid w:val="00792A73"/>
    <w:rsid w:val="00793C03"/>
    <w:rsid w:val="00793E2D"/>
    <w:rsid w:val="007A0176"/>
    <w:rsid w:val="007A05CA"/>
    <w:rsid w:val="007A0D14"/>
    <w:rsid w:val="007A5C4B"/>
    <w:rsid w:val="007B290A"/>
    <w:rsid w:val="007C0415"/>
    <w:rsid w:val="007C47BF"/>
    <w:rsid w:val="007E08E5"/>
    <w:rsid w:val="007E5891"/>
    <w:rsid w:val="007F3079"/>
    <w:rsid w:val="007F40AE"/>
    <w:rsid w:val="007F5C6C"/>
    <w:rsid w:val="0080503F"/>
    <w:rsid w:val="008055B0"/>
    <w:rsid w:val="00810BE3"/>
    <w:rsid w:val="008118D7"/>
    <w:rsid w:val="0081305E"/>
    <w:rsid w:val="00814FBB"/>
    <w:rsid w:val="00822139"/>
    <w:rsid w:val="00822C03"/>
    <w:rsid w:val="00823504"/>
    <w:rsid w:val="0082391F"/>
    <w:rsid w:val="0082508C"/>
    <w:rsid w:val="008303E3"/>
    <w:rsid w:val="008308B0"/>
    <w:rsid w:val="008446E8"/>
    <w:rsid w:val="008453B1"/>
    <w:rsid w:val="00846BD7"/>
    <w:rsid w:val="008502CF"/>
    <w:rsid w:val="00850D97"/>
    <w:rsid w:val="008545A0"/>
    <w:rsid w:val="00857B17"/>
    <w:rsid w:val="00862D89"/>
    <w:rsid w:val="00866653"/>
    <w:rsid w:val="00876FAA"/>
    <w:rsid w:val="008808AB"/>
    <w:rsid w:val="00881C76"/>
    <w:rsid w:val="00885FC0"/>
    <w:rsid w:val="00886449"/>
    <w:rsid w:val="008947A5"/>
    <w:rsid w:val="008A2D0A"/>
    <w:rsid w:val="008A5944"/>
    <w:rsid w:val="008A6BA0"/>
    <w:rsid w:val="008B4B38"/>
    <w:rsid w:val="008C3CC9"/>
    <w:rsid w:val="008D06A3"/>
    <w:rsid w:val="008D1120"/>
    <w:rsid w:val="008D6105"/>
    <w:rsid w:val="008E45FD"/>
    <w:rsid w:val="008E542A"/>
    <w:rsid w:val="008E5690"/>
    <w:rsid w:val="008E5F78"/>
    <w:rsid w:val="008E7948"/>
    <w:rsid w:val="008F0E51"/>
    <w:rsid w:val="008F2351"/>
    <w:rsid w:val="008F27E5"/>
    <w:rsid w:val="008F323D"/>
    <w:rsid w:val="008F3572"/>
    <w:rsid w:val="008F6A88"/>
    <w:rsid w:val="009012E7"/>
    <w:rsid w:val="00901EEA"/>
    <w:rsid w:val="00910B4A"/>
    <w:rsid w:val="00911DA2"/>
    <w:rsid w:val="0091733D"/>
    <w:rsid w:val="00923C11"/>
    <w:rsid w:val="00927195"/>
    <w:rsid w:val="00932D70"/>
    <w:rsid w:val="00932E6F"/>
    <w:rsid w:val="00934988"/>
    <w:rsid w:val="009356AA"/>
    <w:rsid w:val="009361AD"/>
    <w:rsid w:val="009366E1"/>
    <w:rsid w:val="009503BD"/>
    <w:rsid w:val="00950DB6"/>
    <w:rsid w:val="00953172"/>
    <w:rsid w:val="00955BB1"/>
    <w:rsid w:val="0096127F"/>
    <w:rsid w:val="0096367C"/>
    <w:rsid w:val="00970438"/>
    <w:rsid w:val="00974E4B"/>
    <w:rsid w:val="009803AC"/>
    <w:rsid w:val="009A0216"/>
    <w:rsid w:val="009A0AA1"/>
    <w:rsid w:val="009A46AA"/>
    <w:rsid w:val="009A48EE"/>
    <w:rsid w:val="009A5A8E"/>
    <w:rsid w:val="009B1806"/>
    <w:rsid w:val="009C0A5E"/>
    <w:rsid w:val="009C480E"/>
    <w:rsid w:val="009C5BE3"/>
    <w:rsid w:val="009C7E75"/>
    <w:rsid w:val="009E0397"/>
    <w:rsid w:val="009E1C83"/>
    <w:rsid w:val="009E3A23"/>
    <w:rsid w:val="009E42EB"/>
    <w:rsid w:val="009F26C2"/>
    <w:rsid w:val="009F5796"/>
    <w:rsid w:val="009F57AD"/>
    <w:rsid w:val="00A00D0A"/>
    <w:rsid w:val="00A01289"/>
    <w:rsid w:val="00A02C9C"/>
    <w:rsid w:val="00A13B0F"/>
    <w:rsid w:val="00A13CF4"/>
    <w:rsid w:val="00A15094"/>
    <w:rsid w:val="00A16DAD"/>
    <w:rsid w:val="00A1765E"/>
    <w:rsid w:val="00A259EA"/>
    <w:rsid w:val="00A31347"/>
    <w:rsid w:val="00A34A12"/>
    <w:rsid w:val="00A37CB6"/>
    <w:rsid w:val="00A41366"/>
    <w:rsid w:val="00A419B4"/>
    <w:rsid w:val="00A42370"/>
    <w:rsid w:val="00A42C67"/>
    <w:rsid w:val="00A45DC0"/>
    <w:rsid w:val="00A60F3E"/>
    <w:rsid w:val="00A66F5C"/>
    <w:rsid w:val="00A71B80"/>
    <w:rsid w:val="00A72FB6"/>
    <w:rsid w:val="00A80A06"/>
    <w:rsid w:val="00A83C75"/>
    <w:rsid w:val="00A941C0"/>
    <w:rsid w:val="00A94FBB"/>
    <w:rsid w:val="00A97E73"/>
    <w:rsid w:val="00AA22CF"/>
    <w:rsid w:val="00AA3067"/>
    <w:rsid w:val="00AA32B1"/>
    <w:rsid w:val="00AB0E40"/>
    <w:rsid w:val="00AB3ABB"/>
    <w:rsid w:val="00AC01E2"/>
    <w:rsid w:val="00AC2002"/>
    <w:rsid w:val="00AC2B7A"/>
    <w:rsid w:val="00AC2D73"/>
    <w:rsid w:val="00AC4651"/>
    <w:rsid w:val="00AC57BD"/>
    <w:rsid w:val="00AC5EF3"/>
    <w:rsid w:val="00AC7B38"/>
    <w:rsid w:val="00AD033C"/>
    <w:rsid w:val="00AD556C"/>
    <w:rsid w:val="00AD7DDA"/>
    <w:rsid w:val="00AE4B24"/>
    <w:rsid w:val="00AE5E9F"/>
    <w:rsid w:val="00AE620C"/>
    <w:rsid w:val="00AE7088"/>
    <w:rsid w:val="00AF1734"/>
    <w:rsid w:val="00AF6A4B"/>
    <w:rsid w:val="00AF7640"/>
    <w:rsid w:val="00B01181"/>
    <w:rsid w:val="00B017AC"/>
    <w:rsid w:val="00B02346"/>
    <w:rsid w:val="00B042BF"/>
    <w:rsid w:val="00B04E76"/>
    <w:rsid w:val="00B07359"/>
    <w:rsid w:val="00B10942"/>
    <w:rsid w:val="00B1774F"/>
    <w:rsid w:val="00B205FA"/>
    <w:rsid w:val="00B21C89"/>
    <w:rsid w:val="00B22A2F"/>
    <w:rsid w:val="00B2456B"/>
    <w:rsid w:val="00B251BE"/>
    <w:rsid w:val="00B33663"/>
    <w:rsid w:val="00B33FB5"/>
    <w:rsid w:val="00B3458C"/>
    <w:rsid w:val="00B43130"/>
    <w:rsid w:val="00B4415A"/>
    <w:rsid w:val="00B44F07"/>
    <w:rsid w:val="00B46BBE"/>
    <w:rsid w:val="00B47E03"/>
    <w:rsid w:val="00B5385D"/>
    <w:rsid w:val="00B55582"/>
    <w:rsid w:val="00B612FE"/>
    <w:rsid w:val="00B61319"/>
    <w:rsid w:val="00B6140B"/>
    <w:rsid w:val="00B6167D"/>
    <w:rsid w:val="00B62AFC"/>
    <w:rsid w:val="00B63625"/>
    <w:rsid w:val="00B650F6"/>
    <w:rsid w:val="00B65978"/>
    <w:rsid w:val="00B66A00"/>
    <w:rsid w:val="00B70471"/>
    <w:rsid w:val="00B72CF0"/>
    <w:rsid w:val="00B76817"/>
    <w:rsid w:val="00B808F8"/>
    <w:rsid w:val="00B81C21"/>
    <w:rsid w:val="00B82EAD"/>
    <w:rsid w:val="00B833E7"/>
    <w:rsid w:val="00B85C52"/>
    <w:rsid w:val="00B90029"/>
    <w:rsid w:val="00B94190"/>
    <w:rsid w:val="00BA2EEB"/>
    <w:rsid w:val="00BA6949"/>
    <w:rsid w:val="00BA723A"/>
    <w:rsid w:val="00BB4F24"/>
    <w:rsid w:val="00BB5A87"/>
    <w:rsid w:val="00BB6047"/>
    <w:rsid w:val="00BB6082"/>
    <w:rsid w:val="00BC6306"/>
    <w:rsid w:val="00BC67FB"/>
    <w:rsid w:val="00BD1A00"/>
    <w:rsid w:val="00BD3010"/>
    <w:rsid w:val="00BD32C0"/>
    <w:rsid w:val="00BD4B8C"/>
    <w:rsid w:val="00BE70BF"/>
    <w:rsid w:val="00BF4C12"/>
    <w:rsid w:val="00C0489F"/>
    <w:rsid w:val="00C151F8"/>
    <w:rsid w:val="00C17F8E"/>
    <w:rsid w:val="00C20096"/>
    <w:rsid w:val="00C253AC"/>
    <w:rsid w:val="00C2601A"/>
    <w:rsid w:val="00C26E6E"/>
    <w:rsid w:val="00C27E42"/>
    <w:rsid w:val="00C30091"/>
    <w:rsid w:val="00C32475"/>
    <w:rsid w:val="00C357F6"/>
    <w:rsid w:val="00C363C0"/>
    <w:rsid w:val="00C53CCA"/>
    <w:rsid w:val="00C56D80"/>
    <w:rsid w:val="00C62259"/>
    <w:rsid w:val="00C6356F"/>
    <w:rsid w:val="00C63A2B"/>
    <w:rsid w:val="00C66769"/>
    <w:rsid w:val="00C67FDB"/>
    <w:rsid w:val="00C70EA8"/>
    <w:rsid w:val="00C71C0C"/>
    <w:rsid w:val="00C74EF1"/>
    <w:rsid w:val="00C77C77"/>
    <w:rsid w:val="00C824BF"/>
    <w:rsid w:val="00C85924"/>
    <w:rsid w:val="00C92A9F"/>
    <w:rsid w:val="00C963DE"/>
    <w:rsid w:val="00CA4B27"/>
    <w:rsid w:val="00CA4C57"/>
    <w:rsid w:val="00CB5996"/>
    <w:rsid w:val="00CB6110"/>
    <w:rsid w:val="00CC06CD"/>
    <w:rsid w:val="00CC6961"/>
    <w:rsid w:val="00CD13EE"/>
    <w:rsid w:val="00CD20DC"/>
    <w:rsid w:val="00CD2521"/>
    <w:rsid w:val="00CD2B4A"/>
    <w:rsid w:val="00CD3682"/>
    <w:rsid w:val="00CD3DD2"/>
    <w:rsid w:val="00CD5B4B"/>
    <w:rsid w:val="00CD6186"/>
    <w:rsid w:val="00CD6B9E"/>
    <w:rsid w:val="00CE3C74"/>
    <w:rsid w:val="00CE60B1"/>
    <w:rsid w:val="00CE60E5"/>
    <w:rsid w:val="00CE65EF"/>
    <w:rsid w:val="00CF0A6C"/>
    <w:rsid w:val="00CF2FC7"/>
    <w:rsid w:val="00CF3C09"/>
    <w:rsid w:val="00CF7A6C"/>
    <w:rsid w:val="00D02552"/>
    <w:rsid w:val="00D02C25"/>
    <w:rsid w:val="00D05A9F"/>
    <w:rsid w:val="00D06E25"/>
    <w:rsid w:val="00D114F9"/>
    <w:rsid w:val="00D163C8"/>
    <w:rsid w:val="00D205AF"/>
    <w:rsid w:val="00D21CB2"/>
    <w:rsid w:val="00D26A4D"/>
    <w:rsid w:val="00D307AD"/>
    <w:rsid w:val="00D33A14"/>
    <w:rsid w:val="00D34DEF"/>
    <w:rsid w:val="00D402F8"/>
    <w:rsid w:val="00D43A65"/>
    <w:rsid w:val="00D46775"/>
    <w:rsid w:val="00D47D7E"/>
    <w:rsid w:val="00D51238"/>
    <w:rsid w:val="00D52794"/>
    <w:rsid w:val="00D671C3"/>
    <w:rsid w:val="00D67517"/>
    <w:rsid w:val="00D70375"/>
    <w:rsid w:val="00D70E93"/>
    <w:rsid w:val="00D7212F"/>
    <w:rsid w:val="00D722F9"/>
    <w:rsid w:val="00D77F6A"/>
    <w:rsid w:val="00D80706"/>
    <w:rsid w:val="00D8319C"/>
    <w:rsid w:val="00D831CA"/>
    <w:rsid w:val="00D911E3"/>
    <w:rsid w:val="00D93ADC"/>
    <w:rsid w:val="00D97F79"/>
    <w:rsid w:val="00DA3109"/>
    <w:rsid w:val="00DA36F6"/>
    <w:rsid w:val="00DA3F49"/>
    <w:rsid w:val="00DB205F"/>
    <w:rsid w:val="00DB256A"/>
    <w:rsid w:val="00DB3423"/>
    <w:rsid w:val="00DB505C"/>
    <w:rsid w:val="00DB7BDE"/>
    <w:rsid w:val="00DC365F"/>
    <w:rsid w:val="00DC3C1E"/>
    <w:rsid w:val="00DD0CAF"/>
    <w:rsid w:val="00DD395B"/>
    <w:rsid w:val="00DD42D3"/>
    <w:rsid w:val="00DD4313"/>
    <w:rsid w:val="00DD4987"/>
    <w:rsid w:val="00DD6028"/>
    <w:rsid w:val="00DE07DE"/>
    <w:rsid w:val="00DE410B"/>
    <w:rsid w:val="00DF17D3"/>
    <w:rsid w:val="00DF441F"/>
    <w:rsid w:val="00E00540"/>
    <w:rsid w:val="00E0406D"/>
    <w:rsid w:val="00E04A8B"/>
    <w:rsid w:val="00E056FA"/>
    <w:rsid w:val="00E1217A"/>
    <w:rsid w:val="00E13620"/>
    <w:rsid w:val="00E15F9B"/>
    <w:rsid w:val="00E20332"/>
    <w:rsid w:val="00E24460"/>
    <w:rsid w:val="00E2629A"/>
    <w:rsid w:val="00E32EE3"/>
    <w:rsid w:val="00E347DD"/>
    <w:rsid w:val="00E41370"/>
    <w:rsid w:val="00E417E0"/>
    <w:rsid w:val="00E458D3"/>
    <w:rsid w:val="00E533AE"/>
    <w:rsid w:val="00E53628"/>
    <w:rsid w:val="00E541B8"/>
    <w:rsid w:val="00E57D27"/>
    <w:rsid w:val="00E57D7D"/>
    <w:rsid w:val="00E6012E"/>
    <w:rsid w:val="00E60F02"/>
    <w:rsid w:val="00E71455"/>
    <w:rsid w:val="00E722A2"/>
    <w:rsid w:val="00E7408C"/>
    <w:rsid w:val="00E810C8"/>
    <w:rsid w:val="00E87B0B"/>
    <w:rsid w:val="00E90DE3"/>
    <w:rsid w:val="00E90F41"/>
    <w:rsid w:val="00E9238D"/>
    <w:rsid w:val="00E975FD"/>
    <w:rsid w:val="00EA47BE"/>
    <w:rsid w:val="00EB1AEB"/>
    <w:rsid w:val="00EB5829"/>
    <w:rsid w:val="00EB76A3"/>
    <w:rsid w:val="00EC48D4"/>
    <w:rsid w:val="00ED53C1"/>
    <w:rsid w:val="00ED7128"/>
    <w:rsid w:val="00EF3337"/>
    <w:rsid w:val="00EF72E1"/>
    <w:rsid w:val="00EF73B8"/>
    <w:rsid w:val="00F01D7E"/>
    <w:rsid w:val="00F10775"/>
    <w:rsid w:val="00F135D3"/>
    <w:rsid w:val="00F156EA"/>
    <w:rsid w:val="00F204C2"/>
    <w:rsid w:val="00F232FC"/>
    <w:rsid w:val="00F375A9"/>
    <w:rsid w:val="00F43CAF"/>
    <w:rsid w:val="00F45F60"/>
    <w:rsid w:val="00F51D0E"/>
    <w:rsid w:val="00F52268"/>
    <w:rsid w:val="00F60A69"/>
    <w:rsid w:val="00F66DEF"/>
    <w:rsid w:val="00F70432"/>
    <w:rsid w:val="00F718AB"/>
    <w:rsid w:val="00F75077"/>
    <w:rsid w:val="00F77ABC"/>
    <w:rsid w:val="00F82B17"/>
    <w:rsid w:val="00F85232"/>
    <w:rsid w:val="00F87F0D"/>
    <w:rsid w:val="00F93AA7"/>
    <w:rsid w:val="00F93F31"/>
    <w:rsid w:val="00F94CF5"/>
    <w:rsid w:val="00F961C0"/>
    <w:rsid w:val="00FA4AE1"/>
    <w:rsid w:val="00FA4EF9"/>
    <w:rsid w:val="00FA6C07"/>
    <w:rsid w:val="00FA71E3"/>
    <w:rsid w:val="00FA724D"/>
    <w:rsid w:val="00FB5179"/>
    <w:rsid w:val="00FB5F80"/>
    <w:rsid w:val="00FC3E59"/>
    <w:rsid w:val="00FC403D"/>
    <w:rsid w:val="00FE3AEA"/>
    <w:rsid w:val="00FF0E18"/>
    <w:rsid w:val="00FF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EF73B8"/>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7951B-E9E1-4DAA-A1FB-F31C3325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7501</Words>
  <Characters>42761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Benjamin Magogo</cp:lastModifiedBy>
  <cp:revision>2</cp:revision>
  <cp:lastPrinted>2022-04-21T12:55:00Z</cp:lastPrinted>
  <dcterms:created xsi:type="dcterms:W3CDTF">2023-03-13T15:17:00Z</dcterms:created>
  <dcterms:modified xsi:type="dcterms:W3CDTF">2023-03-13T15:17:00Z</dcterms:modified>
</cp:coreProperties>
</file>